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1B4F1D68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17154C" w:rsidRPr="0017154C">
        <w:rPr>
          <w:rFonts w:ascii="Times New Roman" w:hAnsi="Times New Roman" w:cs="Times New Roman"/>
          <w:b/>
          <w:bCs/>
          <w:sz w:val="32"/>
          <w:szCs w:val="32"/>
        </w:rPr>
        <w:t>Park na Legionárskej ul. (Čerešňový Sad)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B9765B" w:rsidRDefault="0017154C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17154C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1715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17154C"/>
    <w:rsid w:val="00596239"/>
    <w:rsid w:val="005F1CA3"/>
    <w:rsid w:val="006B0222"/>
    <w:rsid w:val="00723423"/>
    <w:rsid w:val="007B0642"/>
    <w:rsid w:val="00AA1B52"/>
    <w:rsid w:val="00AD4D7C"/>
    <w:rsid w:val="00E04102"/>
    <w:rsid w:val="00F46852"/>
    <w:rsid w:val="00F7308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3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5</cp:revision>
  <dcterms:created xsi:type="dcterms:W3CDTF">2022-10-17T06:52:00Z</dcterms:created>
  <dcterms:modified xsi:type="dcterms:W3CDTF">2023-01-30T13:35:00Z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