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1425ABB"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D9404E" w:rsidRPr="00D9404E">
        <w:rPr>
          <w:rFonts w:ascii="Arial" w:eastAsia="Arial" w:hAnsi="Arial" w:cs="Arial"/>
          <w:b/>
          <w:sz w:val="18"/>
          <w:szCs w:val="18"/>
        </w:rPr>
        <w:t>Základné medicínske zariadenia (CoV)</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232D828"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C44994" w:rsidRPr="00041BE2">
        <w:rPr>
          <w:rFonts w:ascii="Arial" w:eastAsia="Arial" w:hAnsi="Arial" w:cs="Arial"/>
          <w:b/>
          <w:sz w:val="18"/>
          <w:szCs w:val="18"/>
        </w:rPr>
        <w:t>Nemocnica s poliklinikou sv. Barbory Rožňava, a.s.</w:t>
      </w:r>
    </w:p>
    <w:p w14:paraId="2D389D06" w14:textId="5B2363DC"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Ul. Špitálska 1, 048 01 Rožňava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03166F9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36 597 341</w:t>
      </w:r>
      <w:r w:rsidRPr="003D4D7B">
        <w:rPr>
          <w:rFonts w:ascii="Arial" w:hAnsi="Arial" w:cs="Arial"/>
          <w:sz w:val="18"/>
          <w:szCs w:val="18"/>
        </w:rPr>
        <w:tab/>
        <w:t xml:space="preserve">           </w:t>
      </w:r>
    </w:p>
    <w:p w14:paraId="0C4CDA2D" w14:textId="0AC8A80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2022065595</w:t>
      </w:r>
      <w:r w:rsidRPr="003D4D7B">
        <w:rPr>
          <w:rFonts w:ascii="Arial" w:hAnsi="Arial" w:cs="Arial"/>
          <w:sz w:val="18"/>
          <w:szCs w:val="18"/>
        </w:rPr>
        <w:tab/>
      </w:r>
    </w:p>
    <w:p w14:paraId="7B5AA445" w14:textId="566834C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C44994" w:rsidRPr="00041BE2">
        <w:rPr>
          <w:rFonts w:ascii="Arial" w:eastAsia="Arial" w:hAnsi="Arial" w:cs="Arial"/>
          <w:sz w:val="18"/>
          <w:szCs w:val="18"/>
        </w:rPr>
        <w:t>SK7020000669</w:t>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58FA9185"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C44994" w:rsidRPr="00C44994">
        <w:rPr>
          <w:rFonts w:ascii="Arial" w:hAnsi="Arial" w:cs="Arial"/>
          <w:sz w:val="18"/>
          <w:szCs w:val="18"/>
        </w:rPr>
        <w:t>v Obchodnom registri Okresného súdu Košice I, Oddiel: Sa, vložka č. 1348/V</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055D217"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D9404E" w:rsidRPr="00D9404E">
        <w:rPr>
          <w:rFonts w:ascii="Arial" w:eastAsia="Arial" w:hAnsi="Arial" w:cs="Arial"/>
          <w:b/>
          <w:sz w:val="18"/>
          <w:szCs w:val="18"/>
        </w:rPr>
        <w:t>Základné medicínske zariadenia (CoV)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D9404E">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D918E7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C44994" w:rsidRPr="00C44994">
        <w:rPr>
          <w:rFonts w:ascii="Arial" w:hAnsi="Arial" w:cs="Arial"/>
          <w:b/>
          <w:sz w:val="18"/>
          <w:szCs w:val="18"/>
        </w:rPr>
        <w:t>Nemocnica s poliklinikou sv. Barbory Rožňava, a.s., Ul. Špitálska 1, 048 01 Rožňava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D9404E">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3FEF49BC"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C44994" w:rsidRPr="00F34594">
          <w:rPr>
            <w:rStyle w:val="Hypertextovprepojenie"/>
            <w:rFonts w:ascii="Arial" w:hAnsi="Arial" w:cs="Arial"/>
            <w:sz w:val="18"/>
            <w:szCs w:val="18"/>
          </w:rPr>
          <w:t>fakturacia.RV@svetzdravia.com</w:t>
        </w:r>
      </w:hyperlink>
      <w:r w:rsidR="00C44994">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D9404E">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57355306" w:rsidR="00261205" w:rsidRDefault="00C44994">
      <w:pPr>
        <w:tabs>
          <w:tab w:val="left" w:pos="1418"/>
        </w:tabs>
        <w:spacing w:after="0" w:line="240" w:lineRule="auto"/>
        <w:rPr>
          <w:rFonts w:ascii="Arial" w:eastAsia="Arial" w:hAnsi="Arial" w:cs="Arial"/>
          <w:sz w:val="18"/>
          <w:szCs w:val="18"/>
        </w:rPr>
      </w:pPr>
      <w:r w:rsidRPr="00C44994">
        <w:rPr>
          <w:rFonts w:ascii="Arial" w:eastAsia="Arial" w:hAnsi="Arial" w:cs="Arial"/>
          <w:b/>
          <w:sz w:val="18"/>
          <w:szCs w:val="18"/>
        </w:rPr>
        <w:t>Nemocnica s poliklinikou sv. Barbory Rožňava, a.s.</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D495B05"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D9404E" w:rsidRPr="00D9404E">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75610311" w:rsidR="00261205" w:rsidRPr="00947AC7" w:rsidRDefault="00D9404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D9404E" w:rsidRPr="00947AC7" w14:paraId="4FE49151"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11B1A047" w14:textId="539D4E6B" w:rsidR="00D9404E" w:rsidRPr="00947AC7" w:rsidRDefault="00D9404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2 </w:t>
            </w:r>
            <w:r w:rsidRPr="00947AC7">
              <w:rPr>
                <w:rFonts w:asciiTheme="minorHAnsi" w:eastAsia="Times New Roman" w:hAnsiTheme="minorHAnsi" w:cstheme="minorHAnsi"/>
                <w:color w:val="000000"/>
              </w:rPr>
              <w:t xml:space="preserve">- </w:t>
            </w:r>
            <w:r w:rsidRPr="00D9404E">
              <w:rPr>
                <w:rFonts w:asciiTheme="minorHAnsi" w:eastAsia="Times New Roman" w:hAnsiTheme="minorHAnsi" w:cstheme="minorHAnsi"/>
                <w:color w:val="000000"/>
              </w:rPr>
              <w:t>Servoventilátor</w:t>
            </w:r>
          </w:p>
        </w:tc>
        <w:tc>
          <w:tcPr>
            <w:tcW w:w="3969" w:type="dxa"/>
            <w:tcBorders>
              <w:top w:val="nil"/>
              <w:left w:val="nil"/>
              <w:bottom w:val="single" w:sz="4" w:space="0" w:color="000000"/>
              <w:right w:val="single" w:sz="8" w:space="0" w:color="000000"/>
            </w:tcBorders>
            <w:shd w:val="clear" w:color="auto" w:fill="auto"/>
            <w:vAlign w:val="bottom"/>
          </w:tcPr>
          <w:p w14:paraId="665E6F66" w14:textId="027C0F9A" w:rsidR="00D9404E"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D9404E" w:rsidRPr="00947AC7" w14:paraId="634AEDC4"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981B4A" w14:textId="6C7059FE" w:rsidR="00D9404E" w:rsidRPr="00947AC7" w:rsidRDefault="00D9404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D9404E">
              <w:rPr>
                <w:rFonts w:asciiTheme="minorHAnsi" w:eastAsia="Times New Roman" w:hAnsiTheme="minorHAnsi" w:cstheme="minorHAnsi"/>
                <w:color w:val="000000"/>
              </w:rPr>
              <w:t>Videolaryngoskop</w:t>
            </w:r>
          </w:p>
        </w:tc>
        <w:tc>
          <w:tcPr>
            <w:tcW w:w="3969" w:type="dxa"/>
            <w:tcBorders>
              <w:top w:val="nil"/>
              <w:left w:val="nil"/>
              <w:bottom w:val="single" w:sz="4" w:space="0" w:color="000000"/>
              <w:right w:val="single" w:sz="8" w:space="0" w:color="000000"/>
            </w:tcBorders>
            <w:shd w:val="clear" w:color="auto" w:fill="auto"/>
            <w:vAlign w:val="bottom"/>
          </w:tcPr>
          <w:p w14:paraId="665B9AB5" w14:textId="6C6F3F70" w:rsidR="00D9404E"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D9404E" w:rsidRPr="00947AC7" w14:paraId="7E6B78B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7C51FADE" w14:textId="54F89356" w:rsidR="00D9404E" w:rsidRPr="00947AC7" w:rsidRDefault="00D9404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4</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D9404E">
              <w:rPr>
                <w:rFonts w:asciiTheme="minorHAnsi" w:eastAsia="Times New Roman" w:hAnsiTheme="minorHAnsi" w:cstheme="minorHAnsi"/>
                <w:color w:val="000000"/>
              </w:rPr>
              <w:t>Videobronchoskop</w:t>
            </w:r>
          </w:p>
        </w:tc>
        <w:tc>
          <w:tcPr>
            <w:tcW w:w="3969" w:type="dxa"/>
            <w:tcBorders>
              <w:top w:val="nil"/>
              <w:left w:val="nil"/>
              <w:bottom w:val="single" w:sz="4" w:space="0" w:color="000000"/>
              <w:right w:val="single" w:sz="8" w:space="0" w:color="000000"/>
            </w:tcBorders>
            <w:shd w:val="clear" w:color="auto" w:fill="auto"/>
            <w:vAlign w:val="bottom"/>
          </w:tcPr>
          <w:p w14:paraId="7012058A" w14:textId="02E1AA3F" w:rsidR="00D9404E"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D9404E">
        <w:trPr>
          <w:trHeight w:val="117"/>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0625616E"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D9404E">
              <w:rPr>
                <w:rFonts w:asciiTheme="minorHAnsi" w:eastAsia="Times New Roman" w:hAnsiTheme="minorHAnsi" w:cstheme="minorHAnsi"/>
                <w:color w:val="000000"/>
              </w:rPr>
              <w:t>5</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D9404E" w:rsidRPr="00D9404E">
              <w:rPr>
                <w:rFonts w:asciiTheme="minorHAnsi" w:eastAsia="Times New Roman" w:hAnsiTheme="minorHAnsi" w:cstheme="minorHAnsi"/>
                <w:color w:val="000000"/>
              </w:rPr>
              <w:t>Infúzne pumpy, lineárne dávkovače a dokovacia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512E90F6" w:rsidR="00261205"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1289E"/>
    <w:rsid w:val="00B34C56"/>
    <w:rsid w:val="00B566FE"/>
    <w:rsid w:val="00C1359F"/>
    <w:rsid w:val="00C44994"/>
    <w:rsid w:val="00C56A25"/>
    <w:rsid w:val="00CA40EA"/>
    <w:rsid w:val="00D2418D"/>
    <w:rsid w:val="00D9404E"/>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RV@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6887</Words>
  <Characters>39262</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9</cp:revision>
  <dcterms:created xsi:type="dcterms:W3CDTF">2021-01-08T12:41:00Z</dcterms:created>
  <dcterms:modified xsi:type="dcterms:W3CDTF">2021-01-08T14:37:00Z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