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bookmarkStart w:id="0" w:name="_GoBack"/>
      <w:bookmarkEnd w:id="0"/>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lastRenderedPageBreak/>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xml:space="preserve">, zabezpečujících dílčí technologický proces, který může být výrobní (výsledkem procesu je určitý </w:t>
      </w:r>
      <w:r w:rsidRPr="00C15C32">
        <w:rPr>
          <w:rFonts w:ascii="Arial" w:hAnsi="Arial" w:cs="Arial"/>
          <w:bCs/>
          <w:iCs/>
          <w:lang w:eastAsia="cs-CZ"/>
        </w:rPr>
        <w:lastRenderedPageBreak/>
        <w:t>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lastRenderedPageBreak/>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 xml:space="preserve">oložkových rozpočtech obsaženy nejsou pak nejvýše podle jednotkových cen </w:t>
      </w:r>
      <w:r w:rsidRPr="00C15C32">
        <w:rPr>
          <w:rFonts w:ascii="Arial" w:hAnsi="Arial"/>
          <w:snapToGrid w:val="0"/>
          <w:lang w:eastAsia="cs-CZ"/>
        </w:rPr>
        <w:lastRenderedPageBreak/>
        <w:t>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z</w:t>
      </w:r>
      <w:r w:rsidRPr="00C15C32">
        <w:rPr>
          <w:rFonts w:ascii="Arial" w:hAnsi="Arial"/>
          <w:snapToGrid w:val="0"/>
          <w:lang w:eastAsia="cs-CZ"/>
        </w:rPr>
        <w:t>hotov</w:t>
      </w:r>
      <w:r>
        <w:rPr>
          <w:rFonts w:ascii="Arial" w:hAnsi="Arial"/>
          <w:snapToGrid w:val="0"/>
          <w:lang w:eastAsia="cs-CZ"/>
        </w:rPr>
        <w:t>itel v prodlení proti sjednané l</w:t>
      </w:r>
      <w:r w:rsidRPr="00C15C32">
        <w:rPr>
          <w:rFonts w:ascii="Arial" w:hAnsi="Arial"/>
          <w:snapToGrid w:val="0"/>
          <w:lang w:eastAsia="cs-CZ"/>
        </w:rPr>
        <w:t>hůtě pro doko</w:t>
      </w:r>
      <w:r>
        <w:rPr>
          <w:rFonts w:ascii="Arial" w:hAnsi="Arial"/>
          <w:snapToGrid w:val="0"/>
          <w:lang w:eastAsia="cs-CZ"/>
        </w:rPr>
        <w:t>nčení díla je povinen zaplatit o</w:t>
      </w:r>
      <w:r w:rsidRPr="00C15C32">
        <w:rPr>
          <w:rFonts w:ascii="Arial" w:hAnsi="Arial"/>
          <w:snapToGrid w:val="0"/>
          <w:lang w:eastAsia="cs-CZ"/>
        </w:rPr>
        <w:t>bjednateli smluvní pokutu ve výši 0,</w:t>
      </w:r>
      <w:r w:rsidR="002029E1">
        <w:rPr>
          <w:rFonts w:ascii="Arial" w:hAnsi="Arial"/>
          <w:snapToGrid w:val="0"/>
          <w:lang w:eastAsia="cs-CZ"/>
        </w:rPr>
        <w:t>0</w:t>
      </w:r>
      <w:r w:rsidRPr="00C15C32">
        <w:rPr>
          <w:rFonts w:ascii="Arial" w:hAnsi="Arial"/>
          <w:snapToGrid w:val="0"/>
          <w:lang w:eastAsia="cs-CZ"/>
        </w:rPr>
        <w:t xml:space="preserve">5%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hůtě pro dokončení 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 xml:space="preserve">mlouvy, které </w:t>
      </w:r>
      <w:r w:rsidRPr="00C15C32">
        <w:rPr>
          <w:rFonts w:ascii="Arial" w:hAnsi="Arial"/>
          <w:snapToGrid w:val="0"/>
          <w:lang w:eastAsia="cs-CZ"/>
        </w:rPr>
        <w:lastRenderedPageBreak/>
        <w:t>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 xml:space="preserve">jeho </w:t>
      </w:r>
      <w:r w:rsidRPr="00C15C32">
        <w:rPr>
          <w:rFonts w:ascii="Arial" w:hAnsi="Arial"/>
          <w:snapToGrid w:val="0"/>
          <w:lang w:eastAsia="cs-CZ"/>
        </w:rPr>
        <w:lastRenderedPageBreak/>
        <w:t>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 xml:space="preserve">případně </w:t>
      </w:r>
      <w:r w:rsidRPr="00C15C32">
        <w:rPr>
          <w:rFonts w:ascii="Arial" w:hAnsi="Arial"/>
          <w:snapToGrid w:val="0"/>
          <w:lang w:eastAsia="cs-CZ"/>
        </w:rPr>
        <w:lastRenderedPageBreak/>
        <w:t>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w:t>
      </w:r>
      <w:r w:rsidRPr="00C15C32">
        <w:rPr>
          <w:rFonts w:ascii="Arial" w:hAnsi="Arial"/>
          <w:snapToGrid w:val="0"/>
          <w:lang w:eastAsia="cs-CZ"/>
        </w:rPr>
        <w:lastRenderedPageBreak/>
        <w:t xml:space="preserve">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w:t>
      </w:r>
      <w:r w:rsidRPr="00A83792">
        <w:rPr>
          <w:rFonts w:ascii="Arial" w:hAnsi="Arial"/>
          <w:snapToGrid w:val="0"/>
          <w:lang w:eastAsia="cs-CZ"/>
        </w:rPr>
        <w:lastRenderedPageBreak/>
        <w:t xml:space="preserve">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 xml:space="preserve">mlouvy vyplývajících je povinna svoje odstoupení písemně oznámit druhé smluvní straně s uvedením termínu, ke kterému od smlouvy odstupuje. V odstoupení musí být </w:t>
      </w:r>
      <w:r w:rsidRPr="00A83792">
        <w:rPr>
          <w:rFonts w:ascii="Arial" w:hAnsi="Arial"/>
          <w:snapToGrid w:val="0"/>
          <w:lang w:eastAsia="cs-CZ"/>
        </w:rPr>
        <w:lastRenderedPageBreak/>
        <w:t>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77" w:rsidRDefault="00582D77" w:rsidP="00B535EB">
      <w:pPr>
        <w:spacing w:after="0" w:line="240" w:lineRule="auto"/>
      </w:pPr>
      <w:r>
        <w:separator/>
      </w:r>
    </w:p>
  </w:endnote>
  <w:endnote w:type="continuationSeparator" w:id="0">
    <w:p w:rsidR="00582D77" w:rsidRDefault="00582D77"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77" w:rsidRDefault="00582D77" w:rsidP="00B535EB">
      <w:pPr>
        <w:spacing w:after="0" w:line="240" w:lineRule="auto"/>
      </w:pPr>
      <w:r>
        <w:separator/>
      </w:r>
    </w:p>
  </w:footnote>
  <w:footnote w:type="continuationSeparator" w:id="0">
    <w:p w:rsidR="00582D77" w:rsidRDefault="00582D77"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A6"/>
    <w:rsid w:val="00180492"/>
    <w:rsid w:val="002029E1"/>
    <w:rsid w:val="002069DD"/>
    <w:rsid w:val="002C1E42"/>
    <w:rsid w:val="004B57A6"/>
    <w:rsid w:val="00582D77"/>
    <w:rsid w:val="00596B78"/>
    <w:rsid w:val="00610806"/>
    <w:rsid w:val="006C3DF9"/>
    <w:rsid w:val="007A66A1"/>
    <w:rsid w:val="00841986"/>
    <w:rsid w:val="008E6207"/>
    <w:rsid w:val="00953DB6"/>
    <w:rsid w:val="00B535EB"/>
    <w:rsid w:val="00B91C0D"/>
    <w:rsid w:val="00BA7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5D62A-0E28-4915-A873-DDA241CE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D0E4-3453-4E1C-9AFB-68ACA94E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12755</Words>
  <Characters>75260</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2</cp:revision>
  <dcterms:created xsi:type="dcterms:W3CDTF">2018-09-05T05:46:00Z</dcterms:created>
  <dcterms:modified xsi:type="dcterms:W3CDTF">2018-09-05T05:46:00Z</dcterms:modified>
</cp:coreProperties>
</file>