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18813254"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FB0B20">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52DF22E8"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F0275E">
        <w:rPr>
          <w:rFonts w:ascii="Arial Narrow" w:hAnsi="Arial Narrow"/>
          <w:b/>
          <w:sz w:val="22"/>
          <w:szCs w:val="22"/>
        </w:rPr>
        <w:t xml:space="preserve"> </w:t>
      </w:r>
      <w:r w:rsidR="00A550C3">
        <w:rPr>
          <w:rFonts w:ascii="Arial Narrow" w:hAnsi="Arial Narrow"/>
          <w:b/>
          <w:sz w:val="22"/>
          <w:szCs w:val="22"/>
        </w:rPr>
        <w:t>PhD.</w:t>
      </w:r>
      <w:r w:rsidR="00FB0B20">
        <w:rPr>
          <w:rFonts w:ascii="Arial Narrow" w:hAnsi="Arial Narrow"/>
          <w:b/>
          <w:sz w:val="22"/>
          <w:szCs w:val="22"/>
        </w:rPr>
        <w:t xml:space="preserve"> </w:t>
      </w:r>
      <w:r w:rsidR="00A550C3">
        <w:rPr>
          <w:rFonts w:ascii="Arial Narrow" w:hAnsi="Arial Narrow"/>
          <w:b/>
          <w:sz w:val="22"/>
          <w:szCs w:val="22"/>
        </w:rPr>
        <w:t xml:space="preserve">-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6808F65" w14:textId="77777777" w:rsidR="0065506B"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65506B" w:rsidRPr="003A5283">
        <w:rPr>
          <w:rFonts w:ascii="Arial Narrow" w:hAnsi="Arial Narrow"/>
          <w:b/>
          <w:color w:val="000000"/>
          <w:sz w:val="22"/>
          <w:szCs w:val="22"/>
        </w:rPr>
        <w:t>Ing. PaedDr. Ivan Kováčik</w:t>
      </w:r>
    </w:p>
    <w:p w14:paraId="1D09F095" w14:textId="77777777" w:rsidR="0065506B" w:rsidRDefault="0065506B" w:rsidP="0065506B">
      <w:pPr>
        <w:ind w:left="4245"/>
        <w:jc w:val="both"/>
        <w:rPr>
          <w:rFonts w:ascii="Arial Narrow" w:hAnsi="Arial Narrow"/>
          <w:color w:val="000000"/>
          <w:sz w:val="22"/>
          <w:szCs w:val="22"/>
        </w:rPr>
      </w:pPr>
      <w:r>
        <w:rPr>
          <w:rFonts w:ascii="Arial Narrow" w:hAnsi="Arial Narrow"/>
          <w:color w:val="000000"/>
          <w:sz w:val="22"/>
          <w:szCs w:val="22"/>
        </w:rPr>
        <w:t xml:space="preserve">tel. č. </w:t>
      </w:r>
      <w:r w:rsidRPr="003A5283">
        <w:rPr>
          <w:rFonts w:ascii="Arial Narrow" w:hAnsi="Arial Narrow"/>
          <w:color w:val="000000"/>
          <w:sz w:val="22"/>
          <w:szCs w:val="22"/>
        </w:rPr>
        <w:t>0903 806 004</w:t>
      </w:r>
    </w:p>
    <w:p w14:paraId="215F4445" w14:textId="77777777" w:rsidR="0065506B" w:rsidRPr="00BA03AF" w:rsidRDefault="0065506B" w:rsidP="0065506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Pr="003A5283">
        <w:rPr>
          <w:rFonts w:ascii="Arial Narrow" w:hAnsi="Arial Narrow"/>
          <w:color w:val="000000"/>
          <w:sz w:val="22"/>
          <w:szCs w:val="22"/>
        </w:rPr>
        <w:t>ivan.kovacik@reserves.gov.sk</w:t>
      </w:r>
    </w:p>
    <w:p w14:paraId="4983DAEC" w14:textId="4A6D19B8" w:rsidR="00695629" w:rsidRPr="00BA62A9"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6272745C" w14:textId="77777777" w:rsidR="00695629" w:rsidRPr="00BA62A9" w:rsidRDefault="00695629" w:rsidP="00BA62A9">
      <w:pPr>
        <w:ind w:left="2124" w:hanging="2124"/>
        <w:jc w:val="both"/>
        <w:rPr>
          <w:rFonts w:ascii="Arial Narrow" w:hAnsi="Arial Narrow"/>
          <w:color w:val="000000"/>
          <w:sz w:val="22"/>
          <w:szCs w:val="22"/>
        </w:rPr>
      </w:pP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1627360F" w:rsidR="002655E3" w:rsidRPr="00BA62A9" w:rsidRDefault="00A91EA9" w:rsidP="00BA62A9">
            <w:pPr>
              <w:rPr>
                <w:rFonts w:ascii="Arial Narrow" w:hAnsi="Arial Narrow"/>
                <w:color w:val="000000"/>
                <w:sz w:val="22"/>
                <w:szCs w:val="22"/>
                <w:lang w:eastAsia="sk-SK"/>
              </w:rPr>
            </w:pPr>
            <w:r>
              <w:rPr>
                <w:rFonts w:ascii="Arial Narrow" w:hAnsi="Arial Narrow"/>
                <w:color w:val="000000"/>
                <w:sz w:val="22"/>
                <w:szCs w:val="22"/>
                <w:lang w:eastAsia="sk-SK"/>
              </w:rPr>
              <w:t>Jednorazový plášť</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311CC1BF" w:rsidR="002655E3" w:rsidRPr="00BA62A9" w:rsidRDefault="00A550C3" w:rsidP="00BA62A9">
            <w:pPr>
              <w:jc w:val="right"/>
              <w:rPr>
                <w:rFonts w:ascii="Arial Narrow" w:hAnsi="Arial Narrow" w:cs="Calibri"/>
                <w:color w:val="000000"/>
                <w:sz w:val="22"/>
                <w:szCs w:val="22"/>
              </w:rPr>
            </w:pPr>
            <w:r>
              <w:rPr>
                <w:rFonts w:ascii="Arial Narrow" w:hAnsi="Arial Narrow" w:cs="Calibri"/>
                <w:color w:val="000000"/>
                <w:sz w:val="22"/>
                <w:szCs w:val="22"/>
              </w:rPr>
              <w:t>5</w:t>
            </w:r>
            <w:r w:rsidR="0065506B">
              <w:rPr>
                <w:rFonts w:ascii="Arial Narrow" w:hAnsi="Arial Narrow" w:cs="Calibri"/>
                <w:color w:val="000000"/>
                <w:sz w:val="22"/>
                <w:szCs w:val="22"/>
              </w:rPr>
              <w:t>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lastRenderedPageBreak/>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77777777"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Pr="00BA62A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723A47D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400A9CC7" w:rsidR="00695629" w:rsidRPr="00FB0B20" w:rsidRDefault="003C6445" w:rsidP="00BA62A9">
            <w:pPr>
              <w:rPr>
                <w:rFonts w:ascii="Arial Narrow" w:hAnsi="Arial Narrow"/>
                <w:sz w:val="22"/>
                <w:szCs w:val="22"/>
              </w:rPr>
            </w:pPr>
            <w:r w:rsidRPr="00FB0B20">
              <w:rPr>
                <w:rFonts w:ascii="Arial Narrow" w:hAnsi="Arial Narrow"/>
                <w:sz w:val="22"/>
                <w:szCs w:val="22"/>
              </w:rPr>
              <w:t>Jednorazový plášť</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35956462" w:rsidR="00695629" w:rsidRPr="00BA62A9" w:rsidRDefault="0065506B" w:rsidP="00BA62A9">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sidR="005D60C2">
              <w:rPr>
                <w:rFonts w:ascii="Arial Narrow" w:hAnsi="Arial Narrow"/>
                <w:sz w:val="22"/>
                <w:szCs w:val="22"/>
              </w:rPr>
              <w:t>o štyridsaťpäť (45</w:t>
            </w:r>
            <w:r w:rsidRPr="00E43A61">
              <w:rPr>
                <w:rFonts w:ascii="Arial Narrow" w:hAnsi="Arial Narrow"/>
                <w:sz w:val="22"/>
                <w:szCs w:val="22"/>
              </w:rPr>
              <w:t>) kalendárnych dní</w:t>
            </w:r>
          </w:p>
        </w:tc>
        <w:tc>
          <w:tcPr>
            <w:tcW w:w="1126" w:type="dxa"/>
            <w:vAlign w:val="center"/>
          </w:tcPr>
          <w:p w14:paraId="54B76BA8" w14:textId="0F44602B" w:rsidR="00695629" w:rsidRPr="00BA62A9" w:rsidRDefault="005D60C2"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5</w:t>
            </w:r>
            <w:r w:rsidR="0065506B">
              <w:rPr>
                <w:rFonts w:ascii="Arial Narrow" w:hAnsi="Arial Narrow"/>
                <w:sz w:val="22"/>
                <w:szCs w:val="22"/>
              </w:rPr>
              <w:t>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37B48BBC" w:rsidR="00695629" w:rsidRPr="00BA62A9" w:rsidRDefault="005D60C2"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5</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w:t>
      </w:r>
      <w:r w:rsidRPr="00BA62A9">
        <w:rPr>
          <w:rFonts w:ascii="Arial Narrow" w:eastAsia="Times" w:hAnsi="Arial Narrow"/>
          <w:sz w:val="22"/>
          <w:szCs w:val="22"/>
        </w:rPr>
        <w:lastRenderedPageBreak/>
        <w:t xml:space="preserve">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4C2A971A" w:rsidR="00695629" w:rsidRPr="0065506B" w:rsidRDefault="00695629" w:rsidP="0037112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3C6445">
        <w:rPr>
          <w:rFonts w:ascii="Arial Narrow" w:eastAsia="Times" w:hAnsi="Arial Narrow"/>
          <w:sz w:val="22"/>
          <w:szCs w:val="22"/>
        </w:rPr>
        <w:t xml:space="preserve">je </w:t>
      </w:r>
      <w:r w:rsidR="0065506B" w:rsidRPr="0065506B">
        <w:rPr>
          <w:rFonts w:ascii="Arial Narrow" w:hAnsi="Arial Narrow"/>
          <w:sz w:val="22"/>
          <w:szCs w:val="22"/>
        </w:rPr>
        <w:t xml:space="preserve">závod SŠHR SR </w:t>
      </w:r>
      <w:proofErr w:type="spellStart"/>
      <w:r w:rsidR="0065506B" w:rsidRPr="0065506B">
        <w:rPr>
          <w:rFonts w:ascii="Arial Narrow" w:hAnsi="Arial Narrow"/>
          <w:sz w:val="22"/>
          <w:szCs w:val="22"/>
        </w:rPr>
        <w:t>Ľupčianka</w:t>
      </w:r>
      <w:proofErr w:type="spellEnd"/>
      <w:r w:rsidR="0065506B" w:rsidRPr="0065506B">
        <w:rPr>
          <w:rFonts w:ascii="Arial Narrow" w:hAnsi="Arial Narrow"/>
          <w:sz w:val="22"/>
          <w:szCs w:val="22"/>
        </w:rPr>
        <w:t xml:space="preserve">, Príboj 564, 976 13 Slovenská Ľupča </w:t>
      </w:r>
      <w:r w:rsidR="0065506B" w:rsidRPr="0065506B">
        <w:rPr>
          <w:rFonts w:ascii="Arial Narrow" w:eastAsia="Times" w:hAnsi="Arial Narrow"/>
          <w:sz w:val="22"/>
          <w:szCs w:val="22"/>
        </w:rPr>
        <w:t xml:space="preserve"> </w:t>
      </w:r>
      <w:r w:rsidRPr="0065506B">
        <w:rPr>
          <w:rFonts w:ascii="Arial Narrow" w:eastAsia="Times" w:hAnsi="Arial Narrow"/>
          <w:sz w:val="22"/>
          <w:szCs w:val="22"/>
        </w:rPr>
        <w:t xml:space="preserve">(ďalej len „miesto plnenia“). </w:t>
      </w:r>
      <w:r w:rsidR="00797DAB" w:rsidRPr="0065506B">
        <w:rPr>
          <w:rFonts w:ascii="Arial Narrow" w:eastAsia="Times" w:hAnsi="Arial Narrow"/>
          <w:sz w:val="22"/>
          <w:szCs w:val="22"/>
        </w:rPr>
        <w:t xml:space="preserve">Náklady vzniknuté s prípravou a zabezpečením miesta </w:t>
      </w:r>
      <w:r w:rsidR="009B553E" w:rsidRPr="0065506B">
        <w:rPr>
          <w:rFonts w:ascii="Arial Narrow" w:eastAsia="Times" w:hAnsi="Arial Narrow"/>
          <w:sz w:val="22"/>
          <w:szCs w:val="22"/>
        </w:rPr>
        <w:t xml:space="preserve">plnenia </w:t>
      </w:r>
      <w:r w:rsidR="00797DAB" w:rsidRPr="0065506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lastRenderedPageBreak/>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1E8E595" w14:textId="77777777" w:rsidR="000B790E" w:rsidRPr="000B790E"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627599B"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w:t>
      </w:r>
      <w:r w:rsidRPr="00BA62A9">
        <w:rPr>
          <w:rFonts w:ascii="Arial Narrow" w:eastAsia="Calibri" w:hAnsi="Arial Narrow" w:cs="Times New Roman"/>
          <w:sz w:val="22"/>
          <w:szCs w:val="22"/>
          <w:lang w:eastAsia="en-US"/>
        </w:rPr>
        <w:lastRenderedPageBreak/>
        <w:t xml:space="preserve">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lastRenderedPageBreak/>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27FA65F" w14:textId="1453A309" w:rsidR="00695629" w:rsidRPr="00BA62A9" w:rsidRDefault="00695629" w:rsidP="00BA62A9">
      <w:pPr>
        <w:ind w:right="21"/>
        <w:jc w:val="both"/>
        <w:rPr>
          <w:rFonts w:ascii="Arial Narrow" w:hAnsi="Arial Narrow"/>
          <w:sz w:val="22"/>
          <w:szCs w:val="22"/>
        </w:rPr>
      </w:pPr>
    </w:p>
    <w:p w14:paraId="79300917" w14:textId="7C3C7E43"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60D5324" w14:textId="77777777" w:rsidR="00695629" w:rsidRPr="00BA62A9" w:rsidRDefault="00695629" w:rsidP="00BA62A9">
      <w:pPr>
        <w:ind w:right="21"/>
        <w:jc w:val="both"/>
        <w:rPr>
          <w:rFonts w:ascii="Arial Narrow" w:hAnsi="Arial Narrow"/>
          <w:sz w:val="22"/>
          <w:szCs w:val="22"/>
        </w:rPr>
      </w:pPr>
    </w:p>
    <w:p w14:paraId="383B6671" w14:textId="77777777" w:rsidR="00695629" w:rsidRPr="00BA62A9" w:rsidRDefault="00695629" w:rsidP="00BA62A9">
      <w:pPr>
        <w:ind w:right="21"/>
        <w:jc w:val="both"/>
        <w:rPr>
          <w:rFonts w:ascii="Arial Narrow" w:hAnsi="Arial Narrow"/>
          <w:sz w:val="22"/>
          <w:szCs w:val="22"/>
        </w:rPr>
      </w:pPr>
    </w:p>
    <w:p w14:paraId="59D5D92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F607709" w14:textId="29D21A02" w:rsidR="00695629" w:rsidRPr="00BA62A9" w:rsidRDefault="00695629" w:rsidP="00BA62A9">
      <w:pPr>
        <w:ind w:right="21"/>
        <w:jc w:val="both"/>
        <w:rPr>
          <w:rFonts w:ascii="Arial Narrow" w:hAnsi="Arial Narrow"/>
          <w:sz w:val="22"/>
          <w:szCs w:val="22"/>
        </w:rPr>
      </w:pPr>
    </w:p>
    <w:p w14:paraId="62C3836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5DF8F7C1" w14:textId="77777777" w:rsidR="004C7BDD" w:rsidRDefault="004C7BDD" w:rsidP="004C7BDD">
      <w:pPr>
        <w:pStyle w:val="Odsekzoznamu"/>
        <w:numPr>
          <w:ilvl w:val="0"/>
          <w:numId w:val="21"/>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PE plášť ponúka efektné riešenie pre zaistenie jednorazového oblečenia,</w:t>
      </w:r>
    </w:p>
    <w:p w14:paraId="334599AE" w14:textId="77777777" w:rsidR="004C7BDD" w:rsidRDefault="004C7BDD" w:rsidP="004C7BDD">
      <w:pPr>
        <w:pStyle w:val="Odsekzoznamu"/>
        <w:numPr>
          <w:ilvl w:val="0"/>
          <w:numId w:val="21"/>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w:t>
      </w:r>
      <w:r w:rsidRPr="000D6293">
        <w:rPr>
          <w:rFonts w:ascii="Arial Narrow" w:eastAsia="Calibri" w:hAnsi="Arial Narrow" w:cs="Times New Roman"/>
          <w:sz w:val="22"/>
          <w:szCs w:val="22"/>
          <w:lang w:eastAsia="en-US"/>
        </w:rPr>
        <w:t>ie je určený na ochranu pred nebezpečnými látkami, chemikáliami, kontamin</w:t>
      </w:r>
      <w:r>
        <w:rPr>
          <w:rFonts w:ascii="Arial Narrow" w:eastAsia="Calibri" w:hAnsi="Arial Narrow" w:cs="Times New Roman"/>
          <w:sz w:val="22"/>
          <w:szCs w:val="22"/>
          <w:lang w:eastAsia="en-US"/>
        </w:rPr>
        <w:t>áciou alebo infekčnými látkami,</w:t>
      </w:r>
    </w:p>
    <w:p w14:paraId="102577A3" w14:textId="77777777" w:rsidR="004C7BDD" w:rsidRDefault="004C7BDD" w:rsidP="004C7BDD">
      <w:pPr>
        <w:pStyle w:val="Odsekzoznamu"/>
        <w:numPr>
          <w:ilvl w:val="0"/>
          <w:numId w:val="21"/>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odev je určený na jedno použitie,</w:t>
      </w:r>
    </w:p>
    <w:p w14:paraId="086B7060" w14:textId="77777777" w:rsidR="004C7BDD" w:rsidRDefault="004C7BDD" w:rsidP="004C7BDD">
      <w:pPr>
        <w:pStyle w:val="Odsekzoznamu"/>
        <w:numPr>
          <w:ilvl w:val="0"/>
          <w:numId w:val="21"/>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materiál potiahnutý PE filmom, nepriedušný, ochraňujúci osobu, bez obsahu Latexu</w:t>
      </w:r>
      <w:r>
        <w:rPr>
          <w:rFonts w:ascii="Arial Narrow" w:eastAsia="Calibri" w:hAnsi="Arial Narrow" w:cs="Times New Roman"/>
          <w:sz w:val="22"/>
          <w:szCs w:val="22"/>
          <w:lang w:eastAsia="en-US"/>
        </w:rPr>
        <w:t>,</w:t>
      </w:r>
      <w:r w:rsidRPr="000D6293">
        <w:rPr>
          <w:rFonts w:ascii="Arial Narrow" w:eastAsia="Calibri" w:hAnsi="Arial Narrow" w:cs="Times New Roman"/>
          <w:sz w:val="22"/>
          <w:szCs w:val="22"/>
          <w:lang w:eastAsia="en-US"/>
        </w:rPr>
        <w:t xml:space="preserve"> </w:t>
      </w:r>
    </w:p>
    <w:p w14:paraId="1CC2C348" w14:textId="77777777" w:rsidR="004C7BDD" w:rsidRDefault="004C7BDD" w:rsidP="004C7BDD">
      <w:pPr>
        <w:pStyle w:val="Odsekzoznamu"/>
        <w:numPr>
          <w:ilvl w:val="0"/>
          <w:numId w:val="21"/>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hrúbka min. 0,20 mm,</w:t>
      </w:r>
    </w:p>
    <w:p w14:paraId="76CA61AB" w14:textId="77777777" w:rsidR="004C7BDD" w:rsidRDefault="004C7BDD" w:rsidP="004C7BDD">
      <w:pPr>
        <w:pStyle w:val="Odsekzoznamu"/>
        <w:numPr>
          <w:ilvl w:val="0"/>
          <w:numId w:val="21"/>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minimálna životnosť výrobku: 36 mesiacov,</w:t>
      </w:r>
    </w:p>
    <w:p w14:paraId="4D11C605" w14:textId="629D86F1" w:rsidR="004C7BDD" w:rsidRPr="000D6293" w:rsidRDefault="004C7BDD" w:rsidP="004C7BDD">
      <w:pPr>
        <w:pStyle w:val="Odsekzoznamu"/>
        <w:numPr>
          <w:ilvl w:val="0"/>
          <w:numId w:val="21"/>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D6293">
        <w:rPr>
          <w:rFonts w:ascii="Arial Narrow" w:eastAsia="Calibri" w:hAnsi="Arial Narrow" w:cs="Times New Roman"/>
          <w:sz w:val="22"/>
          <w:szCs w:val="22"/>
          <w:lang w:eastAsia="en-US"/>
        </w:rPr>
        <w:t xml:space="preserve">výrobok v zhode s STN EN ISO 13688:2013 Ochranné odevy - Všeobecné požiadavky OOP jednoduchej konštrukcie proti minimálnym rizikám, ktoré môžu byť včas a bezpečne užívateľom rozpoznané alebo ekvivalentnou normou. </w:t>
      </w: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2214DCC4" w14:textId="77777777" w:rsidR="00695629" w:rsidRPr="00BA62A9" w:rsidRDefault="00695629" w:rsidP="00BA62A9">
      <w:pPr>
        <w:jc w:val="both"/>
        <w:rPr>
          <w:rFonts w:ascii="Arial Narrow" w:hAnsi="Arial Narrow"/>
          <w:sz w:val="22"/>
          <w:szCs w:val="22"/>
        </w:rPr>
      </w:pP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1424" w14:textId="77777777" w:rsidR="0090604C" w:rsidRDefault="0090604C">
      <w:r>
        <w:separator/>
      </w:r>
    </w:p>
  </w:endnote>
  <w:endnote w:type="continuationSeparator" w:id="0">
    <w:p w14:paraId="056AC7B4" w14:textId="77777777" w:rsidR="0090604C" w:rsidRDefault="0090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5937A" w14:textId="77777777" w:rsidR="00EF6BCE" w:rsidRDefault="00EF6BC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EF6BCE" w:rsidP="00916F8A">
            <w:pPr>
              <w:pStyle w:val="Pta"/>
              <w:jc w:val="center"/>
            </w:pPr>
          </w:p>
          <w:p w14:paraId="2CAE2F41" w14:textId="77777777" w:rsidR="00DF4DDD" w:rsidRPr="00226B2F" w:rsidRDefault="00EF6BCE">
            <w:pPr>
              <w:pStyle w:val="Pta"/>
              <w:jc w:val="center"/>
              <w:rPr>
                <w:lang w:val="sk-SK"/>
              </w:rPr>
            </w:pPr>
          </w:p>
        </w:sdtContent>
      </w:sdt>
    </w:sdtContent>
  </w:sdt>
  <w:p w14:paraId="3157A356" w14:textId="77777777" w:rsidR="00DF4DDD" w:rsidRPr="00226B2F" w:rsidRDefault="00EF6BCE"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1AAC" w14:textId="77777777" w:rsidR="00EF6BCE" w:rsidRDefault="00EF6BC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1811A" w14:textId="77777777" w:rsidR="0090604C" w:rsidRDefault="0090604C">
      <w:r>
        <w:separator/>
      </w:r>
    </w:p>
  </w:footnote>
  <w:footnote w:type="continuationSeparator" w:id="0">
    <w:p w14:paraId="53EAD3A3" w14:textId="77777777" w:rsidR="0090604C" w:rsidRDefault="00906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322A" w14:textId="77777777" w:rsidR="00EF6BCE" w:rsidRDefault="00EF6BCE">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1E25FC0" w14:textId="7B0123BC" w:rsidR="00EF6BCE" w:rsidRDefault="00053761" w:rsidP="00EF6BCE">
    <w:pPr>
      <w:pStyle w:val="Hlavika"/>
      <w:rPr>
        <w:rFonts w:ascii="Arial Narrow" w:hAnsi="Arial Narrow"/>
        <w:b/>
        <w:sz w:val="16"/>
        <w:szCs w:val="10"/>
      </w:rPr>
    </w:pPr>
    <w:r>
      <w:rPr>
        <w:rFonts w:ascii="Arial Narrow" w:hAnsi="Arial Narrow"/>
        <w:b/>
        <w:sz w:val="16"/>
        <w:szCs w:val="10"/>
      </w:rPr>
      <w:tab/>
      <w:t xml:space="preserve">                                                                     </w:t>
    </w:r>
    <w:r w:rsidR="00EF6BCE">
      <w:rPr>
        <w:rFonts w:ascii="Arial Narrow" w:hAnsi="Arial Narrow"/>
        <w:b/>
        <w:sz w:val="16"/>
        <w:szCs w:val="10"/>
      </w:rPr>
      <w:t xml:space="preserve">                                                                                   </w:t>
    </w:r>
    <w:bookmarkStart w:id="0" w:name="_GoBack"/>
    <w:bookmarkEnd w:id="0"/>
    <w:r>
      <w:rPr>
        <w:rFonts w:ascii="Arial Narrow" w:hAnsi="Arial Narrow"/>
        <w:b/>
        <w:sz w:val="16"/>
        <w:szCs w:val="10"/>
      </w:rPr>
      <w:t xml:space="preserve"> </w:t>
    </w:r>
    <w:proofErr w:type="spellStart"/>
    <w:r w:rsidR="00EF6BCE">
      <w:rPr>
        <w:rFonts w:ascii="Arial Narrow" w:hAnsi="Arial Narrow"/>
        <w:b/>
        <w:sz w:val="16"/>
        <w:szCs w:val="10"/>
      </w:rPr>
      <w:t>Príloha</w:t>
    </w:r>
    <w:proofErr w:type="spellEnd"/>
    <w:r w:rsidR="00EF6BCE">
      <w:rPr>
        <w:rFonts w:ascii="Arial Narrow" w:hAnsi="Arial Narrow"/>
        <w:b/>
        <w:sz w:val="16"/>
        <w:szCs w:val="10"/>
      </w:rPr>
      <w:t xml:space="preserve"> č. 1</w:t>
    </w:r>
    <w:r w:rsidR="00EF6BCE">
      <w:rPr>
        <w:rFonts w:ascii="Arial Narrow" w:hAnsi="Arial Narrow"/>
        <w:b/>
        <w:sz w:val="16"/>
        <w:szCs w:val="10"/>
      </w:rPr>
      <w:t xml:space="preserve"> k </w:t>
    </w:r>
    <w:proofErr w:type="spellStart"/>
    <w:r w:rsidR="00EF6BCE">
      <w:rPr>
        <w:rFonts w:ascii="Arial Narrow" w:hAnsi="Arial Narrow"/>
        <w:b/>
        <w:sz w:val="16"/>
        <w:szCs w:val="10"/>
      </w:rPr>
      <w:t>výzve</w:t>
    </w:r>
    <w:proofErr w:type="spellEnd"/>
    <w:r w:rsidR="00EF6BCE">
      <w:rPr>
        <w:rFonts w:ascii="Arial Narrow" w:hAnsi="Arial Narrow"/>
        <w:b/>
        <w:sz w:val="16"/>
        <w:szCs w:val="10"/>
      </w:rPr>
      <w:t xml:space="preserve"> </w:t>
    </w:r>
    <w:proofErr w:type="spellStart"/>
    <w:r w:rsidR="00EF6BCE">
      <w:rPr>
        <w:rFonts w:ascii="Arial Narrow" w:hAnsi="Arial Narrow"/>
        <w:b/>
        <w:sz w:val="16"/>
        <w:szCs w:val="10"/>
      </w:rPr>
      <w:t>na</w:t>
    </w:r>
    <w:proofErr w:type="spellEnd"/>
    <w:r w:rsidR="00EF6BCE">
      <w:rPr>
        <w:rFonts w:ascii="Arial Narrow" w:hAnsi="Arial Narrow"/>
        <w:b/>
        <w:sz w:val="16"/>
        <w:szCs w:val="10"/>
      </w:rPr>
      <w:t xml:space="preserve"> </w:t>
    </w:r>
    <w:proofErr w:type="spellStart"/>
    <w:r w:rsidR="00EF6BCE">
      <w:rPr>
        <w:rFonts w:ascii="Arial Narrow" w:hAnsi="Arial Narrow"/>
        <w:b/>
        <w:sz w:val="16"/>
        <w:szCs w:val="10"/>
      </w:rPr>
      <w:t>predkladanie</w:t>
    </w:r>
    <w:proofErr w:type="spellEnd"/>
    <w:r w:rsidR="00EF6BCE">
      <w:rPr>
        <w:rFonts w:ascii="Arial Narrow" w:hAnsi="Arial Narrow"/>
        <w:b/>
        <w:sz w:val="16"/>
        <w:szCs w:val="10"/>
      </w:rPr>
      <w:t xml:space="preserve"> </w:t>
    </w:r>
    <w:proofErr w:type="spellStart"/>
    <w:r w:rsidR="00EF6BCE">
      <w:rPr>
        <w:rFonts w:ascii="Arial Narrow" w:hAnsi="Arial Narrow"/>
        <w:b/>
        <w:sz w:val="16"/>
        <w:szCs w:val="10"/>
      </w:rPr>
      <w:t>ponuky</w:t>
    </w:r>
    <w:proofErr w:type="spellEnd"/>
    <w:r w:rsidR="00EF6BCE">
      <w:rPr>
        <w:rFonts w:ascii="Arial Narrow" w:hAnsi="Arial Narrow"/>
        <w:b/>
        <w:sz w:val="16"/>
        <w:szCs w:val="10"/>
      </w:rPr>
      <w:t xml:space="preserve"> s </w:t>
    </w:r>
    <w:proofErr w:type="spellStart"/>
    <w:r w:rsidR="00EF6BCE">
      <w:rPr>
        <w:rFonts w:ascii="Arial Narrow" w:hAnsi="Arial Narrow"/>
        <w:b/>
        <w:sz w:val="16"/>
        <w:szCs w:val="10"/>
      </w:rPr>
      <w:t>použitím</w:t>
    </w:r>
    <w:proofErr w:type="spellEnd"/>
    <w:r w:rsidR="00EF6BCE">
      <w:rPr>
        <w:rFonts w:ascii="Arial Narrow" w:hAnsi="Arial Narrow"/>
        <w:b/>
        <w:sz w:val="16"/>
        <w:szCs w:val="10"/>
      </w:rPr>
      <w:t xml:space="preserve"> </w:t>
    </w:r>
  </w:p>
  <w:p w14:paraId="34801075" w14:textId="77777777" w:rsidR="00EF6BCE" w:rsidRDefault="00EF6BCE" w:rsidP="00EF6BCE">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EF6BCE" w:rsidP="00596182">
    <w:pPr>
      <w:pStyle w:val="Hlavika"/>
      <w:jc w:val="center"/>
      <w:rPr>
        <w:rFonts w:ascii="Arial Narrow" w:hAnsi="Arial Narrow"/>
        <w:b/>
        <w:sz w:val="16"/>
        <w:szCs w:val="10"/>
      </w:rPr>
    </w:pPr>
  </w:p>
  <w:p w14:paraId="7EEE8D84" w14:textId="77777777" w:rsidR="00916F8A" w:rsidRPr="00426765" w:rsidRDefault="00EF6BCE" w:rsidP="00916F8A">
    <w:pPr>
      <w:pStyle w:val="Hlavika"/>
      <w:rPr>
        <w:rFonts w:ascii="Arial Narrow" w:hAnsi="Arial Narrow"/>
        <w:b/>
        <w:sz w:val="16"/>
        <w:szCs w:val="10"/>
      </w:rPr>
    </w:pPr>
  </w:p>
  <w:p w14:paraId="20B7EAFB" w14:textId="77777777" w:rsidR="00916F8A" w:rsidRDefault="00EF6BCE">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B445" w14:textId="77777777" w:rsidR="00EF6BCE" w:rsidRDefault="00EF6BC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8"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17"/>
  </w:num>
  <w:num w:numId="5">
    <w:abstractNumId w:val="1"/>
  </w:num>
  <w:num w:numId="6">
    <w:abstractNumId w:val="6"/>
  </w:num>
  <w:num w:numId="7">
    <w:abstractNumId w:val="2"/>
  </w:num>
  <w:num w:numId="8">
    <w:abstractNumId w:val="14"/>
  </w:num>
  <w:num w:numId="9">
    <w:abstractNumId w:val="20"/>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19"/>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A7DE9"/>
    <w:rsid w:val="000B790E"/>
    <w:rsid w:val="000E0A80"/>
    <w:rsid w:val="000F0CAF"/>
    <w:rsid w:val="00107C56"/>
    <w:rsid w:val="001C4672"/>
    <w:rsid w:val="001F65E8"/>
    <w:rsid w:val="002108DD"/>
    <w:rsid w:val="002655E3"/>
    <w:rsid w:val="002B4072"/>
    <w:rsid w:val="002D1253"/>
    <w:rsid w:val="00303D24"/>
    <w:rsid w:val="0032422A"/>
    <w:rsid w:val="00356048"/>
    <w:rsid w:val="00374054"/>
    <w:rsid w:val="003B7CFB"/>
    <w:rsid w:val="003C6445"/>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D60C2"/>
    <w:rsid w:val="005F6368"/>
    <w:rsid w:val="00630169"/>
    <w:rsid w:val="00646B0F"/>
    <w:rsid w:val="0065506B"/>
    <w:rsid w:val="0066200D"/>
    <w:rsid w:val="00680135"/>
    <w:rsid w:val="00694E90"/>
    <w:rsid w:val="00695629"/>
    <w:rsid w:val="00771055"/>
    <w:rsid w:val="0077631C"/>
    <w:rsid w:val="00797679"/>
    <w:rsid w:val="00797DAB"/>
    <w:rsid w:val="007A47C4"/>
    <w:rsid w:val="007F7925"/>
    <w:rsid w:val="0082106E"/>
    <w:rsid w:val="00834A59"/>
    <w:rsid w:val="00852981"/>
    <w:rsid w:val="008A34F7"/>
    <w:rsid w:val="008F0288"/>
    <w:rsid w:val="0090604C"/>
    <w:rsid w:val="009B553E"/>
    <w:rsid w:val="009E1F6F"/>
    <w:rsid w:val="009E6761"/>
    <w:rsid w:val="009F0DCF"/>
    <w:rsid w:val="00A053CE"/>
    <w:rsid w:val="00A550C3"/>
    <w:rsid w:val="00A61955"/>
    <w:rsid w:val="00A91EA9"/>
    <w:rsid w:val="00AD0190"/>
    <w:rsid w:val="00B15F75"/>
    <w:rsid w:val="00B76260"/>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6381C"/>
    <w:rsid w:val="00D84E5A"/>
    <w:rsid w:val="00DF26EB"/>
    <w:rsid w:val="00E20026"/>
    <w:rsid w:val="00E21987"/>
    <w:rsid w:val="00E64966"/>
    <w:rsid w:val="00EF6BCE"/>
    <w:rsid w:val="00F0275E"/>
    <w:rsid w:val="00F12E36"/>
    <w:rsid w:val="00F307D8"/>
    <w:rsid w:val="00F46D63"/>
    <w:rsid w:val="00F56420"/>
    <w:rsid w:val="00FB0B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A686-0E08-43BB-9F1B-99F851D5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4021</Words>
  <Characters>22924</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3</cp:revision>
  <cp:lastPrinted>2021-01-31T19:14:00Z</cp:lastPrinted>
  <dcterms:created xsi:type="dcterms:W3CDTF">2021-01-31T19:12:00Z</dcterms:created>
  <dcterms:modified xsi:type="dcterms:W3CDTF">2021-01-31T19:15:00Z</dcterms:modified>
</cp:coreProperties>
</file>