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2C4A6" w14:textId="77777777" w:rsidR="00ED3A97" w:rsidRPr="00ED3A97" w:rsidRDefault="00ED3A97" w:rsidP="00B966D1">
      <w:pPr>
        <w:spacing w:after="12" w:line="267" w:lineRule="auto"/>
        <w:ind w:left="454" w:hanging="10"/>
        <w:jc w:val="center"/>
        <w:rPr>
          <w:rFonts w:ascii="Times New Roman" w:eastAsia="Times New Roman" w:hAnsi="Times New Roman" w:cs="Times New Roman"/>
          <w:b/>
          <w:bCs/>
          <w:color w:val="000000"/>
          <w:sz w:val="28"/>
          <w:szCs w:val="28"/>
          <w:lang w:eastAsia="sk-SK"/>
        </w:rPr>
      </w:pPr>
      <w:r w:rsidRPr="00ED3A97">
        <w:rPr>
          <w:rFonts w:ascii="Times New Roman" w:eastAsia="Times New Roman" w:hAnsi="Times New Roman" w:cs="Times New Roman"/>
          <w:b/>
          <w:bCs/>
          <w:color w:val="000000"/>
          <w:sz w:val="28"/>
          <w:szCs w:val="28"/>
          <w:lang w:eastAsia="sk-SK"/>
        </w:rPr>
        <w:t>Opis predmetu zákazky</w:t>
      </w:r>
    </w:p>
    <w:p w14:paraId="60FED843" w14:textId="77777777" w:rsidR="00ED3A97" w:rsidRPr="00ED3A97" w:rsidRDefault="00ED3A97" w:rsidP="001A1E4E">
      <w:pPr>
        <w:spacing w:after="12" w:line="267" w:lineRule="auto"/>
        <w:jc w:val="both"/>
        <w:rPr>
          <w:rFonts w:ascii="Times New Roman" w:eastAsia="Times New Roman" w:hAnsi="Times New Roman" w:cs="Times New Roman"/>
          <w:color w:val="808080" w:themeColor="background1" w:themeShade="80"/>
          <w:sz w:val="24"/>
          <w:lang w:eastAsia="sk-SK"/>
        </w:rPr>
      </w:pPr>
    </w:p>
    <w:p w14:paraId="2BBB78E1" w14:textId="77777777" w:rsidR="00ED3A97" w:rsidRPr="00ED3A97" w:rsidRDefault="00ED3A97" w:rsidP="001A1E4E">
      <w:pPr>
        <w:spacing w:after="12" w:line="267" w:lineRule="auto"/>
        <w:jc w:val="both"/>
        <w:rPr>
          <w:rFonts w:ascii="Times New Roman" w:eastAsia="Times New Roman" w:hAnsi="Times New Roman" w:cs="Times New Roman"/>
          <w:color w:val="000000" w:themeColor="text1"/>
          <w:sz w:val="24"/>
          <w:lang w:eastAsia="sk-SK"/>
        </w:rPr>
      </w:pPr>
    </w:p>
    <w:p w14:paraId="521910DA" w14:textId="77777777" w:rsidR="00ED3A97" w:rsidRPr="00ED3A97" w:rsidRDefault="00ED3A97" w:rsidP="001A1E4E">
      <w:pPr>
        <w:suppressAutoHyphens/>
        <w:spacing w:after="0" w:line="240" w:lineRule="auto"/>
        <w:jc w:val="both"/>
        <w:rPr>
          <w:rFonts w:eastAsia="Calibri" w:cstheme="minorHAnsi"/>
          <w:b/>
          <w:bCs/>
          <w:color w:val="00000A"/>
        </w:rPr>
      </w:pPr>
      <w:r w:rsidRPr="00ED3A97">
        <w:rPr>
          <w:rFonts w:eastAsia="Calibri" w:cstheme="minorHAnsi"/>
          <w:b/>
          <w:color w:val="00000A"/>
        </w:rPr>
        <w:t xml:space="preserve">Obstarávateľ: </w:t>
      </w:r>
      <w:r w:rsidRPr="00ED3A97">
        <w:rPr>
          <w:rFonts w:eastAsia="Calibri" w:cstheme="minorHAnsi"/>
          <w:b/>
          <w:bCs/>
          <w:color w:val="00000A"/>
        </w:rPr>
        <w:t xml:space="preserve">Odvoz a likvidácia odpadu, </w:t>
      </w:r>
      <w:proofErr w:type="spellStart"/>
      <w:r w:rsidRPr="00ED3A97">
        <w:rPr>
          <w:rFonts w:eastAsia="Calibri" w:cstheme="minorHAnsi"/>
          <w:b/>
          <w:bCs/>
          <w:color w:val="00000A"/>
        </w:rPr>
        <w:t>a.s</w:t>
      </w:r>
      <w:proofErr w:type="spellEnd"/>
      <w:r w:rsidRPr="00ED3A97">
        <w:rPr>
          <w:rFonts w:eastAsia="Calibri" w:cstheme="minorHAnsi"/>
          <w:b/>
          <w:bCs/>
          <w:color w:val="00000A"/>
        </w:rPr>
        <w:t>.</w:t>
      </w:r>
    </w:p>
    <w:p w14:paraId="26A84F1E" w14:textId="77777777" w:rsidR="00ED3A97" w:rsidRPr="00ED3A97" w:rsidRDefault="00ED3A97" w:rsidP="001A1E4E">
      <w:pPr>
        <w:suppressAutoHyphens/>
        <w:spacing w:after="0" w:line="240" w:lineRule="auto"/>
        <w:jc w:val="both"/>
        <w:rPr>
          <w:rFonts w:eastAsia="Calibri" w:cstheme="minorHAnsi"/>
          <w:b/>
          <w:color w:val="00000A"/>
        </w:rPr>
      </w:pPr>
    </w:p>
    <w:p w14:paraId="1E8C4E5D" w14:textId="77777777" w:rsidR="00A451C4" w:rsidRPr="00A21DBA" w:rsidRDefault="00A451C4" w:rsidP="001A1E4E">
      <w:pPr>
        <w:jc w:val="both"/>
        <w:rPr>
          <w:b/>
          <w:szCs w:val="24"/>
        </w:rPr>
      </w:pPr>
      <w:r w:rsidRPr="00A21DBA">
        <w:rPr>
          <w:b/>
          <w:szCs w:val="24"/>
        </w:rPr>
        <w:t>Časť I: Výroba a dodanie podávacieho a prechodového stola.</w:t>
      </w:r>
    </w:p>
    <w:p w14:paraId="07A6FEF6" w14:textId="77777777" w:rsidR="00A451C4"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C8FC72F" w14:textId="77777777" w:rsidR="00A451C4"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E491D">
        <w:rPr>
          <w:rFonts w:cstheme="minorHAnsi"/>
          <w:szCs w:val="20"/>
        </w:rPr>
        <w:t>Predmetom zákazky je výroba</w:t>
      </w:r>
      <w:r>
        <w:rPr>
          <w:rFonts w:cstheme="minorHAnsi"/>
          <w:szCs w:val="20"/>
        </w:rPr>
        <w:t xml:space="preserve"> a</w:t>
      </w:r>
      <w:r w:rsidRPr="009E491D">
        <w:rPr>
          <w:rFonts w:cstheme="minorHAnsi"/>
          <w:szCs w:val="20"/>
        </w:rPr>
        <w:t xml:space="preserve"> dodanie podávacieho stola a prechodového stola v kotly K1 v závode ZEVO v</w:t>
      </w:r>
      <w:r>
        <w:rPr>
          <w:rFonts w:cstheme="minorHAnsi"/>
          <w:szCs w:val="20"/>
        </w:rPr>
        <w:t> </w:t>
      </w:r>
      <w:r w:rsidRPr="009E491D">
        <w:rPr>
          <w:rFonts w:cstheme="minorHAnsi"/>
          <w:szCs w:val="20"/>
        </w:rPr>
        <w:t>Bratislave</w:t>
      </w:r>
      <w:r>
        <w:rPr>
          <w:rFonts w:cstheme="minorHAnsi"/>
          <w:szCs w:val="20"/>
        </w:rPr>
        <w:t>.</w:t>
      </w:r>
    </w:p>
    <w:p w14:paraId="22D9292C" w14:textId="77777777" w:rsidR="00A451C4"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00D4153" w14:textId="77777777" w:rsidR="00A451C4" w:rsidRPr="00EC4D02" w:rsidRDefault="00A451C4" w:rsidP="001A1E4E">
      <w:pPr>
        <w:numPr>
          <w:ilvl w:val="0"/>
          <w:numId w:val="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EC4D02">
        <w:rPr>
          <w:rFonts w:cstheme="minorHAnsi"/>
          <w:b/>
          <w:bCs/>
          <w:szCs w:val="20"/>
        </w:rPr>
        <w:t>Popis aktuálneho stavu:</w:t>
      </w:r>
    </w:p>
    <w:p w14:paraId="178FB372" w14:textId="77777777" w:rsidR="00A451C4" w:rsidRPr="00EC4D02"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7EE3C8EB" w14:textId="77777777" w:rsidR="00A451C4" w:rsidRPr="00EC4D02"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EC4D02">
        <w:rPr>
          <w:rFonts w:cstheme="minorHAnsi"/>
          <w:szCs w:val="20"/>
        </w:rPr>
        <w:t>V mieste kotolne sú umiestnené 2 existujúce kotly K1 a K2. Každý z kotlov spaľuje komunálny odpad s kapacitou spaľovania 9,95 t / h odpadu. Kotly sú identické, stoj</w:t>
      </w:r>
      <w:r>
        <w:rPr>
          <w:rFonts w:cstheme="minorHAnsi"/>
          <w:szCs w:val="20"/>
        </w:rPr>
        <w:t>a</w:t>
      </w:r>
      <w:r w:rsidRPr="00EC4D02">
        <w:rPr>
          <w:rFonts w:cstheme="minorHAnsi"/>
          <w:szCs w:val="20"/>
        </w:rPr>
        <w:t xml:space="preserve"> vedľa seba v uzavretej budove (kotolni).</w:t>
      </w:r>
    </w:p>
    <w:p w14:paraId="039FE930" w14:textId="77777777" w:rsidR="00A451C4" w:rsidRPr="00EC4D02"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8C1839F" w14:textId="77777777" w:rsidR="00A451C4" w:rsidRPr="00EC4D02"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EC4D02">
        <w:rPr>
          <w:rFonts w:cstheme="minorHAnsi"/>
          <w:szCs w:val="20"/>
        </w:rPr>
        <w:t xml:space="preserve">Komunálny odpad určený na spálenie </w:t>
      </w:r>
      <w:r>
        <w:rPr>
          <w:rFonts w:cstheme="minorHAnsi"/>
          <w:szCs w:val="20"/>
        </w:rPr>
        <w:t>sa</w:t>
      </w:r>
      <w:r w:rsidRPr="00EC4D02">
        <w:rPr>
          <w:rFonts w:cstheme="minorHAnsi"/>
          <w:szCs w:val="20"/>
        </w:rPr>
        <w:t xml:space="preserve"> skládkuj</w:t>
      </w:r>
      <w:r>
        <w:rPr>
          <w:rFonts w:cstheme="minorHAnsi"/>
          <w:szCs w:val="20"/>
        </w:rPr>
        <w:t>e</w:t>
      </w:r>
      <w:r w:rsidRPr="00EC4D02">
        <w:rPr>
          <w:rFonts w:cstheme="minorHAnsi"/>
          <w:szCs w:val="20"/>
        </w:rPr>
        <w:t xml:space="preserve"> do bunkra, z ktorého sa drapákovým bagrom odpad sype do násypiek kotlov (1 kotol = jedna násypka). Z násypiek je materiál sypaný do šachty (chladené násypky), ktorá je oplášťovaná, chladená vodou z uzavretého okruhu. Zo šachty je odpad dávkovaný cez podávací a prechodový stôl do kotla. Na rošte (rošt je opatrený roštnicami) kotl</w:t>
      </w:r>
      <w:r>
        <w:rPr>
          <w:rFonts w:cstheme="minorHAnsi"/>
          <w:szCs w:val="20"/>
        </w:rPr>
        <w:t>a</w:t>
      </w:r>
      <w:r w:rsidRPr="00EC4D02">
        <w:rPr>
          <w:rFonts w:cstheme="minorHAnsi"/>
          <w:szCs w:val="20"/>
        </w:rPr>
        <w:t xml:space="preserve"> dochádza k spaľovaniu odpadov a popol sa sype do </w:t>
      </w:r>
      <w:proofErr w:type="spellStart"/>
      <w:r w:rsidRPr="00EC4D02">
        <w:rPr>
          <w:rFonts w:cstheme="minorHAnsi"/>
          <w:szCs w:val="20"/>
        </w:rPr>
        <w:t>odškvarovača</w:t>
      </w:r>
      <w:proofErr w:type="spellEnd"/>
      <w:r w:rsidRPr="00EC4D02">
        <w:rPr>
          <w:rFonts w:cstheme="minorHAnsi"/>
          <w:szCs w:val="20"/>
        </w:rPr>
        <w:t xml:space="preserve"> pod kotlom, z ktorého je popol vyhrňovan</w:t>
      </w:r>
      <w:r>
        <w:rPr>
          <w:rFonts w:cstheme="minorHAnsi"/>
          <w:szCs w:val="20"/>
        </w:rPr>
        <w:t>ý</w:t>
      </w:r>
      <w:r w:rsidRPr="00EC4D02">
        <w:rPr>
          <w:rFonts w:cstheme="minorHAnsi"/>
          <w:szCs w:val="20"/>
        </w:rPr>
        <w:t xml:space="preserve"> do kontajnera. V </w:t>
      </w:r>
      <w:proofErr w:type="spellStart"/>
      <w:r w:rsidRPr="00EC4D02">
        <w:rPr>
          <w:rFonts w:cstheme="minorHAnsi"/>
          <w:szCs w:val="20"/>
        </w:rPr>
        <w:t>odškvarovači</w:t>
      </w:r>
      <w:proofErr w:type="spellEnd"/>
      <w:r w:rsidRPr="00EC4D02">
        <w:rPr>
          <w:rFonts w:cstheme="minorHAnsi"/>
          <w:szCs w:val="20"/>
        </w:rPr>
        <w:t xml:space="preserve"> je držaná hladina vody, v ktorej sa popol chladí.</w:t>
      </w:r>
    </w:p>
    <w:p w14:paraId="22E3328C" w14:textId="77777777" w:rsidR="00A451C4" w:rsidRPr="00EC4D02"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116D8CA" w14:textId="77777777" w:rsidR="00A451C4" w:rsidRPr="00EC4D02"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EC4D02">
        <w:rPr>
          <w:rFonts w:cstheme="minorHAnsi"/>
          <w:szCs w:val="20"/>
        </w:rPr>
        <w:t>Niektoré zariadenia kotlov sú už opotrebovan</w:t>
      </w:r>
      <w:r>
        <w:rPr>
          <w:rFonts w:cstheme="minorHAnsi"/>
          <w:szCs w:val="20"/>
        </w:rPr>
        <w:t>é</w:t>
      </w:r>
      <w:r w:rsidRPr="00EC4D02">
        <w:rPr>
          <w:rFonts w:cstheme="minorHAnsi"/>
          <w:szCs w:val="20"/>
        </w:rPr>
        <w:t xml:space="preserve"> a je potrebné ich vymeniť. Do rozsahu tejto dodávky, v rámci výmeny, sú zahrnuté len hlavné diely, súčasťou dodávky nie sú úpravy prívodov a odvodov chladiacej vody, hydraulické rozvody a káblové rozvody kotvené k vymieňaným častiam. Tie budú demontované pred začatím výmeny hlavných komponentov a po montáži hlavných dielov opäť inštalované.</w:t>
      </w:r>
    </w:p>
    <w:p w14:paraId="64876C23" w14:textId="77777777" w:rsidR="00A451C4"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A4C61BE" w14:textId="77777777" w:rsidR="00A451C4" w:rsidRPr="003C0921" w:rsidRDefault="00A451C4" w:rsidP="001A1E4E">
      <w:pPr>
        <w:jc w:val="both"/>
        <w:rPr>
          <w:b/>
          <w:szCs w:val="24"/>
          <w:u w:val="single"/>
        </w:rPr>
      </w:pPr>
      <w:r w:rsidRPr="003C0921">
        <w:rPr>
          <w:b/>
          <w:szCs w:val="24"/>
          <w:u w:val="single"/>
        </w:rPr>
        <w:t>ZAVÁŽACÍ SYSTÉM</w:t>
      </w:r>
    </w:p>
    <w:p w14:paraId="1F4E91F6" w14:textId="77777777" w:rsidR="00A451C4" w:rsidRPr="00CC21B1" w:rsidRDefault="00A451C4" w:rsidP="001A1E4E">
      <w:pPr>
        <w:jc w:val="both"/>
      </w:pPr>
      <w:r w:rsidRPr="00CC21B1">
        <w:tab/>
      </w:r>
      <w:r w:rsidRPr="00CC21B1">
        <w:tab/>
      </w:r>
      <w:r w:rsidRPr="00CC21B1">
        <w:tab/>
      </w:r>
    </w:p>
    <w:p w14:paraId="24425F56" w14:textId="77777777" w:rsidR="00A451C4" w:rsidRPr="00A25701" w:rsidRDefault="00A451C4" w:rsidP="001A1E4E">
      <w:pPr>
        <w:jc w:val="both"/>
        <w:rPr>
          <w:b/>
          <w:szCs w:val="24"/>
          <w:u w:val="single"/>
        </w:rPr>
      </w:pPr>
      <w:r w:rsidRPr="00A25701">
        <w:rPr>
          <w:b/>
          <w:szCs w:val="24"/>
          <w:u w:val="single"/>
        </w:rPr>
        <w:t>1. Použitie na stanovený účel</w:t>
      </w:r>
    </w:p>
    <w:p w14:paraId="21503F56" w14:textId="77777777" w:rsidR="00A451C4" w:rsidRPr="00F53A94" w:rsidRDefault="00A451C4" w:rsidP="001A1E4E">
      <w:pPr>
        <w:jc w:val="both"/>
      </w:pPr>
      <w:proofErr w:type="spellStart"/>
      <w:r w:rsidRPr="00F53A94">
        <w:t>Zavážacie</w:t>
      </w:r>
      <w:proofErr w:type="spellEnd"/>
      <w:r w:rsidRPr="00F53A94">
        <w:t xml:space="preserve"> zariadenie je určené výlučne na prívod heterogénneho domového a priemyselného odpadu na rošt so sp</w:t>
      </w:r>
      <w:r>
        <w:rPr>
          <w:rFonts w:cs="Tahoma"/>
        </w:rPr>
        <w:t>ä</w:t>
      </w:r>
      <w:r w:rsidRPr="00F53A94">
        <w:t>tným posuvom paliva.</w:t>
      </w:r>
    </w:p>
    <w:p w14:paraId="1E9A7899" w14:textId="77777777" w:rsidR="00A451C4" w:rsidRPr="003C0921" w:rsidRDefault="00A451C4" w:rsidP="001A1E4E">
      <w:pPr>
        <w:jc w:val="both"/>
        <w:rPr>
          <w:color w:val="FF0000"/>
        </w:rPr>
      </w:pPr>
    </w:p>
    <w:p w14:paraId="27113B75" w14:textId="77777777" w:rsidR="00A451C4" w:rsidRPr="00A25701" w:rsidRDefault="00A451C4" w:rsidP="001A1E4E">
      <w:pPr>
        <w:jc w:val="both"/>
        <w:rPr>
          <w:color w:val="FF0000"/>
          <w:szCs w:val="24"/>
        </w:rPr>
      </w:pPr>
      <w:r w:rsidRPr="00A25701">
        <w:rPr>
          <w:b/>
          <w:szCs w:val="24"/>
          <w:u w:val="single"/>
        </w:rPr>
        <w:t>2. Popis funkcie</w:t>
      </w:r>
    </w:p>
    <w:p w14:paraId="5B22C1FB" w14:textId="77777777" w:rsidR="00A451C4" w:rsidRPr="001628FB" w:rsidRDefault="00A451C4" w:rsidP="001A1E4E">
      <w:pPr>
        <w:jc w:val="both"/>
        <w:rPr>
          <w:b/>
          <w:sz w:val="2"/>
          <w:szCs w:val="2"/>
          <w:u w:val="single"/>
        </w:rPr>
      </w:pPr>
    </w:p>
    <w:p w14:paraId="5F78A927" w14:textId="77777777" w:rsidR="00A451C4" w:rsidRPr="009175CA" w:rsidRDefault="00A451C4" w:rsidP="001A1E4E">
      <w:pPr>
        <w:jc w:val="both"/>
        <w:rPr>
          <w:b/>
          <w:u w:val="single"/>
        </w:rPr>
      </w:pPr>
      <w:r w:rsidRPr="009175CA">
        <w:rPr>
          <w:b/>
          <w:u w:val="single"/>
        </w:rPr>
        <w:t>2.1 Všeobecne</w:t>
      </w:r>
    </w:p>
    <w:p w14:paraId="32FE1762" w14:textId="77777777" w:rsidR="00A451C4" w:rsidRPr="00F53A94" w:rsidRDefault="00A451C4" w:rsidP="001A1E4E">
      <w:pPr>
        <w:jc w:val="both"/>
      </w:pPr>
      <w:r w:rsidRPr="00F53A94">
        <w:t xml:space="preserve">Kompletné </w:t>
      </w:r>
      <w:proofErr w:type="spellStart"/>
      <w:r w:rsidRPr="00F53A94">
        <w:t>z</w:t>
      </w:r>
      <w:r>
        <w:t>avážacie</w:t>
      </w:r>
      <w:proofErr w:type="spellEnd"/>
      <w:r>
        <w:t xml:space="preserve"> zariadenie pozostáva z</w:t>
      </w:r>
      <w:r w:rsidRPr="00F53A94">
        <w:t>:</w:t>
      </w:r>
    </w:p>
    <w:p w14:paraId="58D3D8C0" w14:textId="77777777" w:rsidR="00A451C4" w:rsidRPr="00F53A94" w:rsidRDefault="00A451C4" w:rsidP="001A1E4E">
      <w:pPr>
        <w:pStyle w:val="Odsekzoznamu"/>
        <w:numPr>
          <w:ilvl w:val="0"/>
          <w:numId w:val="8"/>
        </w:numPr>
        <w:spacing w:after="240" w:line="240" w:lineRule="auto"/>
        <w:ind w:left="0" w:right="0" w:firstLine="0"/>
      </w:pPr>
      <w:r w:rsidRPr="00F53A94">
        <w:t>násypky (hornej a strednej časti)</w:t>
      </w:r>
    </w:p>
    <w:p w14:paraId="522F28E6" w14:textId="77777777" w:rsidR="00A451C4" w:rsidRPr="00F53A94" w:rsidRDefault="00A451C4" w:rsidP="001A1E4E">
      <w:pPr>
        <w:pStyle w:val="Odsekzoznamu"/>
        <w:numPr>
          <w:ilvl w:val="0"/>
          <w:numId w:val="8"/>
        </w:numPr>
        <w:spacing w:after="240" w:line="240" w:lineRule="auto"/>
        <w:ind w:left="0" w:right="0" w:firstLine="0"/>
      </w:pPr>
      <w:r w:rsidRPr="00F53A94">
        <w:t>otočnej klapky</w:t>
      </w:r>
    </w:p>
    <w:p w14:paraId="7640CFA6" w14:textId="77777777" w:rsidR="00A451C4" w:rsidRPr="00F53A94" w:rsidRDefault="00A451C4" w:rsidP="001A1E4E">
      <w:pPr>
        <w:pStyle w:val="Odsekzoznamu"/>
        <w:numPr>
          <w:ilvl w:val="0"/>
          <w:numId w:val="8"/>
        </w:numPr>
        <w:spacing w:after="240" w:line="240" w:lineRule="auto"/>
        <w:ind w:left="0" w:right="0" w:firstLine="0"/>
      </w:pPr>
      <w:r w:rsidRPr="00F53A94">
        <w:t>šachty</w:t>
      </w:r>
    </w:p>
    <w:p w14:paraId="2F6B1A2D" w14:textId="77777777" w:rsidR="00A451C4" w:rsidRPr="00F53A94" w:rsidRDefault="00A451C4" w:rsidP="001A1E4E">
      <w:pPr>
        <w:pStyle w:val="Odsekzoznamu"/>
        <w:numPr>
          <w:ilvl w:val="0"/>
          <w:numId w:val="8"/>
        </w:numPr>
        <w:spacing w:after="240" w:line="240" w:lineRule="auto"/>
        <w:ind w:left="0" w:right="0" w:firstLine="0"/>
      </w:pPr>
      <w:proofErr w:type="spellStart"/>
      <w:r w:rsidRPr="00F53A94">
        <w:t>zavážacieho</w:t>
      </w:r>
      <w:proofErr w:type="spellEnd"/>
      <w:r w:rsidRPr="00F53A94">
        <w:t xml:space="preserve"> stola s prechodovou časťou</w:t>
      </w:r>
    </w:p>
    <w:p w14:paraId="3AD80864" w14:textId="77777777" w:rsidR="00A451C4" w:rsidRPr="00F53A94" w:rsidRDefault="00A451C4" w:rsidP="001A1E4E">
      <w:pPr>
        <w:pStyle w:val="Odsekzoznamu"/>
        <w:numPr>
          <w:ilvl w:val="0"/>
          <w:numId w:val="8"/>
        </w:numPr>
        <w:spacing w:after="240" w:line="240" w:lineRule="auto"/>
        <w:ind w:left="0" w:right="0" w:firstLine="0"/>
      </w:pPr>
      <w:r w:rsidRPr="00F53A94">
        <w:t>pr</w:t>
      </w:r>
      <w:r>
        <w:t>í</w:t>
      </w:r>
      <w:r w:rsidRPr="00F53A94">
        <w:t>vodov a odvodov vody</w:t>
      </w:r>
    </w:p>
    <w:p w14:paraId="0CC6A837" w14:textId="77777777" w:rsidR="00A451C4" w:rsidRPr="00F53A94" w:rsidRDefault="00A451C4" w:rsidP="001A1E4E">
      <w:pPr>
        <w:pStyle w:val="Odsekzoznamu"/>
        <w:ind w:left="0"/>
      </w:pPr>
    </w:p>
    <w:p w14:paraId="3C300F30" w14:textId="77777777" w:rsidR="00A451C4" w:rsidRPr="00F53A94" w:rsidRDefault="00A451C4" w:rsidP="001A1E4E">
      <w:pPr>
        <w:pStyle w:val="Odsekzoznamu"/>
        <w:ind w:left="0"/>
      </w:pPr>
      <w:r>
        <w:lastRenderedPageBreak/>
        <w:t xml:space="preserve">Pozn.: </w:t>
      </w:r>
      <w:r w:rsidRPr="00F53A94">
        <w:t>Spo</w:t>
      </w:r>
      <w:r>
        <w:t>l</w:t>
      </w:r>
      <w:r w:rsidRPr="00F53A94">
        <w:t xml:space="preserve">očná zostava – násypky, otočnej klapky a plniacej šachty – sa v nasledujúcom pomenúva tiež ako </w:t>
      </w:r>
      <w:proofErr w:type="spellStart"/>
      <w:r w:rsidRPr="00F53A94">
        <w:t>zavážací</w:t>
      </w:r>
      <w:proofErr w:type="spellEnd"/>
      <w:r w:rsidRPr="00F53A94">
        <w:t xml:space="preserve"> sklz.</w:t>
      </w:r>
    </w:p>
    <w:p w14:paraId="1AC369AD" w14:textId="77777777" w:rsidR="00A451C4" w:rsidRDefault="00A451C4" w:rsidP="001A1E4E">
      <w:pPr>
        <w:pStyle w:val="Odsekzoznamu"/>
        <w:ind w:left="0"/>
        <w:rPr>
          <w:color w:val="FF0000"/>
        </w:rPr>
      </w:pPr>
    </w:p>
    <w:p w14:paraId="55B9BF07" w14:textId="77777777" w:rsidR="00A451C4" w:rsidRDefault="00A451C4" w:rsidP="001A1E4E">
      <w:pPr>
        <w:pStyle w:val="Odsekzoznamu"/>
        <w:ind w:left="0"/>
      </w:pPr>
    </w:p>
    <w:p w14:paraId="51E25DB0" w14:textId="77777777" w:rsidR="00A451C4" w:rsidRPr="009809CA" w:rsidRDefault="00A451C4" w:rsidP="001A1E4E">
      <w:pPr>
        <w:pStyle w:val="Odsekzoznamu"/>
        <w:ind w:left="0"/>
      </w:pPr>
      <w:r w:rsidRPr="009809CA">
        <w:t>Poz</w:t>
      </w:r>
      <w:r>
        <w:t>í</w:t>
      </w:r>
      <w:r w:rsidRPr="009809CA">
        <w:t>c</w:t>
      </w:r>
      <w:r>
        <w:t>i</w:t>
      </w:r>
      <w:r w:rsidRPr="009809CA">
        <w:t>e uvedené v</w:t>
      </w:r>
      <w:r>
        <w:t xml:space="preserve"> obrázku sú </w:t>
      </w:r>
      <w:r w:rsidRPr="009809CA">
        <w:t xml:space="preserve">znázornené </w:t>
      </w:r>
      <w:r>
        <w:t xml:space="preserve">v </w:t>
      </w:r>
      <w:r w:rsidRPr="009809CA">
        <w:t>nasledujúcom popis</w:t>
      </w:r>
      <w:r>
        <w:t>e</w:t>
      </w:r>
      <w:r w:rsidRPr="009809CA">
        <w:t>.</w:t>
      </w:r>
    </w:p>
    <w:p w14:paraId="74310339" w14:textId="77777777" w:rsidR="00A451C4" w:rsidRDefault="00A451C4" w:rsidP="001A1E4E">
      <w:pPr>
        <w:pStyle w:val="Odsekzoznamu"/>
        <w:ind w:left="0"/>
        <w:rPr>
          <w:color w:val="FF0000"/>
        </w:rPr>
      </w:pPr>
      <w:r>
        <w:rPr>
          <w:noProof/>
          <w:color w:val="FF0000"/>
          <w:lang w:eastAsia="cs-CZ"/>
        </w:rPr>
        <w:drawing>
          <wp:inline distT="0" distB="0" distL="0" distR="0" wp14:anchorId="1D8394D0" wp14:editId="5BF0B64B">
            <wp:extent cx="3919752" cy="4096512"/>
            <wp:effectExtent l="0" t="0" r="5080" b="0"/>
            <wp:docPr id="1" name="Obrázek 5" descr="G:\Výstřiž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ýstřižek.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4728" cy="4101713"/>
                    </a:xfrm>
                    <a:prstGeom prst="rect">
                      <a:avLst/>
                    </a:prstGeom>
                    <a:noFill/>
                    <a:ln>
                      <a:noFill/>
                    </a:ln>
                  </pic:spPr>
                </pic:pic>
              </a:graphicData>
            </a:graphic>
          </wp:inline>
        </w:drawing>
      </w:r>
    </w:p>
    <w:p w14:paraId="17559D31" w14:textId="77777777" w:rsidR="00A451C4" w:rsidRDefault="00A451C4" w:rsidP="001A1E4E">
      <w:pPr>
        <w:pStyle w:val="Odsekzoznamu"/>
        <w:ind w:left="0"/>
        <w:rPr>
          <w:color w:val="FF0000"/>
        </w:rPr>
      </w:pPr>
    </w:p>
    <w:p w14:paraId="4A7C2177" w14:textId="77777777" w:rsidR="00A451C4" w:rsidRDefault="00A451C4" w:rsidP="001A1E4E">
      <w:pPr>
        <w:jc w:val="both"/>
        <w:rPr>
          <w:b/>
          <w:u w:val="single"/>
        </w:rPr>
      </w:pPr>
      <w:r w:rsidRPr="006955DB">
        <w:rPr>
          <w:b/>
          <w:u w:val="single"/>
        </w:rPr>
        <w:t xml:space="preserve">2.2 </w:t>
      </w:r>
      <w:proofErr w:type="spellStart"/>
      <w:r w:rsidRPr="006955DB">
        <w:rPr>
          <w:b/>
          <w:u w:val="single"/>
        </w:rPr>
        <w:t>Zavážací</w:t>
      </w:r>
      <w:proofErr w:type="spellEnd"/>
      <w:r w:rsidRPr="006955DB">
        <w:rPr>
          <w:b/>
          <w:u w:val="single"/>
        </w:rPr>
        <w:t xml:space="preserve"> sklz</w:t>
      </w:r>
    </w:p>
    <w:p w14:paraId="171CA2B5" w14:textId="77777777" w:rsidR="00A451C4" w:rsidRPr="00F53A94" w:rsidRDefault="00A451C4" w:rsidP="001A1E4E">
      <w:pPr>
        <w:pStyle w:val="Odsekzoznamu"/>
        <w:ind w:left="0"/>
      </w:pPr>
      <w:proofErr w:type="spellStart"/>
      <w:r>
        <w:t>Zavážací</w:t>
      </w:r>
      <w:proofErr w:type="spellEnd"/>
      <w:r>
        <w:t xml:space="preserve"> sklz pozostá</w:t>
      </w:r>
      <w:r w:rsidRPr="00F53A94">
        <w:t>va</w:t>
      </w:r>
      <w:r>
        <w:t xml:space="preserve"> z</w:t>
      </w:r>
      <w:r w:rsidRPr="00F53A94">
        <w:t xml:space="preserve"> – násypky, otočnej klapky</w:t>
      </w:r>
      <w:r>
        <w:t xml:space="preserve"> a plniacej šachty.</w:t>
      </w:r>
    </w:p>
    <w:p w14:paraId="409AB060" w14:textId="77777777" w:rsidR="00A451C4" w:rsidRDefault="00A451C4" w:rsidP="001A1E4E">
      <w:pPr>
        <w:jc w:val="both"/>
        <w:rPr>
          <w:u w:val="single"/>
        </w:rPr>
      </w:pPr>
      <w:r w:rsidRPr="006955DB">
        <w:rPr>
          <w:u w:val="single"/>
        </w:rPr>
        <w:t xml:space="preserve">2.2.1 </w:t>
      </w:r>
      <w:proofErr w:type="spellStart"/>
      <w:r w:rsidRPr="006955DB">
        <w:rPr>
          <w:u w:val="single"/>
        </w:rPr>
        <w:t>Zavážacia</w:t>
      </w:r>
      <w:proofErr w:type="spellEnd"/>
      <w:r w:rsidRPr="006955DB">
        <w:rPr>
          <w:u w:val="single"/>
        </w:rPr>
        <w:t xml:space="preserve"> násypka</w:t>
      </w:r>
    </w:p>
    <w:p w14:paraId="096D3CAD" w14:textId="77777777" w:rsidR="00A451C4" w:rsidRPr="001C12CA" w:rsidRDefault="00A451C4" w:rsidP="001A1E4E">
      <w:pPr>
        <w:jc w:val="both"/>
      </w:pPr>
      <w:r w:rsidRPr="001C12CA">
        <w:t xml:space="preserve">Pomocou drapáka žeriava sa naplní násypka („A“) odpadom zo zásobníka. Obstavanie </w:t>
      </w:r>
      <w:proofErr w:type="spellStart"/>
      <w:r w:rsidRPr="001C12CA">
        <w:t>zavážacej</w:t>
      </w:r>
      <w:proofErr w:type="spellEnd"/>
      <w:r w:rsidRPr="001C12CA">
        <w:t xml:space="preserve"> násypky vyčnieva von približne 1,0 m z betónového sokla, takže je umožnené bezpečné sprístupnenie okolia. </w:t>
      </w:r>
      <w:proofErr w:type="spellStart"/>
      <w:r w:rsidRPr="001C12CA">
        <w:t>Zavážacia</w:t>
      </w:r>
      <w:proofErr w:type="spellEnd"/>
      <w:r w:rsidRPr="001C12CA">
        <w:t xml:space="preserve"> násypka má zo strany zásobníka sklon („B“) 35</w:t>
      </w:r>
      <w:r w:rsidRPr="001C12CA">
        <w:rPr>
          <w:rFonts w:cs="Tahoma"/>
        </w:rPr>
        <w:t>°</w:t>
      </w:r>
      <w:r w:rsidRPr="001C12CA">
        <w:t>.</w:t>
      </w:r>
    </w:p>
    <w:p w14:paraId="3EBD7E9B" w14:textId="77777777" w:rsidR="00A451C4" w:rsidRDefault="00A451C4" w:rsidP="001A1E4E">
      <w:pPr>
        <w:jc w:val="both"/>
        <w:rPr>
          <w:u w:val="single"/>
        </w:rPr>
      </w:pPr>
      <w:r w:rsidRPr="006955DB">
        <w:rPr>
          <w:u w:val="single"/>
        </w:rPr>
        <w:t>2.2.2 Otočná klapka</w:t>
      </w:r>
    </w:p>
    <w:p w14:paraId="06AEDE46" w14:textId="77777777" w:rsidR="00A451C4" w:rsidRPr="0079115B" w:rsidRDefault="00A451C4" w:rsidP="001A1E4E">
      <w:pPr>
        <w:jc w:val="both"/>
      </w:pPr>
      <w:r w:rsidRPr="0079115B">
        <w:t>Pod násypkou je cez celú šírku násypky umiestnená otočná klapka („C“). V normálnej prevádzke zariadenia je otočná klapka stále otvorená. Otočná klapka sa zatvára len vtedy, keď sa ide odstavovať zariadenie. Otočná klapka sa ovláda hydraulickými valcami („D“), ktoré sú umiestnené na bočných stenách šachty.</w:t>
      </w:r>
    </w:p>
    <w:p w14:paraId="7D91CE5C" w14:textId="77777777" w:rsidR="00A451C4" w:rsidRPr="00CA3B61" w:rsidRDefault="00A451C4" w:rsidP="001A1E4E">
      <w:pPr>
        <w:jc w:val="both"/>
        <w:rPr>
          <w:u w:val="single"/>
        </w:rPr>
      </w:pPr>
      <w:r w:rsidRPr="00CA3B61">
        <w:rPr>
          <w:u w:val="single"/>
        </w:rPr>
        <w:t>2.2.3 Šachta so zabudovanou mikrovlnnou závorou</w:t>
      </w:r>
    </w:p>
    <w:p w14:paraId="5DA6A2B2" w14:textId="77777777" w:rsidR="00A451C4" w:rsidRPr="00CA3B61" w:rsidRDefault="00A451C4" w:rsidP="001A1E4E">
      <w:pPr>
        <w:jc w:val="both"/>
      </w:pPr>
      <w:r>
        <w:t>Do</w:t>
      </w:r>
      <w:r w:rsidRPr="00CA3B61">
        <w:t xml:space="preserve"> násypky </w:t>
      </w:r>
      <w:r>
        <w:t xml:space="preserve">sa </w:t>
      </w:r>
      <w:r w:rsidRPr="00CA3B61">
        <w:t xml:space="preserve">odpad cez otvorenú otočnú klapku </w:t>
      </w:r>
      <w:r>
        <w:t xml:space="preserve">nakladá žeriavom, </w:t>
      </w:r>
      <w:r w:rsidRPr="00CA3B61">
        <w:t>do šachty („E“)</w:t>
      </w:r>
      <w:r>
        <w:t xml:space="preserve"> padá samospádom</w:t>
      </w:r>
      <w:r w:rsidRPr="00CA3B61">
        <w:t>. Výškou približne 2,8 m a vlastnou hmotnosťou odpadu sa tento st</w:t>
      </w:r>
      <w:r>
        <w:t>l</w:t>
      </w:r>
      <w:r w:rsidRPr="00CA3B61">
        <w:t>áča už v sklze.  Na zabezpečenie dostatočnej výšky stĺpca odpadu sú zabudované kontroly stavu naplnenia vo forme mikrovlnných závor („F“). Tieto pozostávajú zo spínacieho prístroja, vysielača a prijímača. P</w:t>
      </w:r>
      <w:r>
        <w:t>ri</w:t>
      </w:r>
      <w:r w:rsidRPr="00CA3B61">
        <w:t xml:space="preserve"> poklese </w:t>
      </w:r>
      <w:r w:rsidRPr="00CA3B61">
        <w:lastRenderedPageBreak/>
        <w:t>pod minimálnu výšku naplnenia sa v dozorni spustí optický a akustický poplach. Šachta je zakončená zo strany zásobníka prechodovou časťou („G“), ktorá je naklonená približne 70</w:t>
      </w:r>
      <w:r w:rsidRPr="00CA3B61">
        <w:rPr>
          <w:rFonts w:cs="Tahoma"/>
        </w:rPr>
        <w:t>° (k horizont</w:t>
      </w:r>
      <w:r>
        <w:rPr>
          <w:rFonts w:cs="Tahoma"/>
        </w:rPr>
        <w:t>á</w:t>
      </w:r>
      <w:r w:rsidRPr="00CA3B61">
        <w:rPr>
          <w:rFonts w:cs="Tahoma"/>
        </w:rPr>
        <w:t xml:space="preserve">le). Zo strany horenia končí šachta približne 1000 mm nad </w:t>
      </w:r>
      <w:proofErr w:type="spellStart"/>
      <w:r w:rsidRPr="00CA3B61">
        <w:rPr>
          <w:rFonts w:cs="Tahoma"/>
        </w:rPr>
        <w:t>zaváž</w:t>
      </w:r>
      <w:r>
        <w:rPr>
          <w:rFonts w:cs="Tahoma"/>
        </w:rPr>
        <w:t>a</w:t>
      </w:r>
      <w:r w:rsidRPr="00CA3B61">
        <w:rPr>
          <w:rFonts w:cs="Tahoma"/>
        </w:rPr>
        <w:t>cím</w:t>
      </w:r>
      <w:proofErr w:type="spellEnd"/>
      <w:r w:rsidRPr="00CA3B61">
        <w:rPr>
          <w:rFonts w:cs="Tahoma"/>
        </w:rPr>
        <w:t xml:space="preserve"> stolom prednou oblúkovou platňou („H</w:t>
      </w:r>
      <w:r>
        <w:rPr>
          <w:rFonts w:cs="Tahoma"/>
        </w:rPr>
        <w:t>“</w:t>
      </w:r>
      <w:r w:rsidRPr="00CA3B61">
        <w:rPr>
          <w:rFonts w:cs="Tahoma"/>
        </w:rPr>
        <w:t>).</w:t>
      </w:r>
    </w:p>
    <w:p w14:paraId="5CBC697E" w14:textId="77777777" w:rsidR="00A451C4" w:rsidRPr="006955DB" w:rsidRDefault="00A451C4" w:rsidP="001A1E4E">
      <w:pPr>
        <w:jc w:val="both"/>
        <w:rPr>
          <w:color w:val="FF0000"/>
          <w:u w:val="single"/>
        </w:rPr>
      </w:pPr>
    </w:p>
    <w:p w14:paraId="4327F704" w14:textId="77777777" w:rsidR="00A451C4" w:rsidRPr="006955DB" w:rsidRDefault="00A451C4" w:rsidP="001A1E4E">
      <w:pPr>
        <w:jc w:val="both"/>
        <w:rPr>
          <w:b/>
          <w:u w:val="single"/>
        </w:rPr>
      </w:pPr>
      <w:r w:rsidRPr="006955DB">
        <w:rPr>
          <w:b/>
          <w:u w:val="single"/>
        </w:rPr>
        <w:t>2.3 P</w:t>
      </w:r>
      <w:r>
        <w:rPr>
          <w:b/>
          <w:u w:val="single"/>
        </w:rPr>
        <w:t>r</w:t>
      </w:r>
      <w:r w:rsidRPr="006955DB">
        <w:rPr>
          <w:b/>
          <w:u w:val="single"/>
        </w:rPr>
        <w:t>ívody a odvody vody</w:t>
      </w:r>
    </w:p>
    <w:p w14:paraId="6F3C3209" w14:textId="77777777" w:rsidR="00A451C4" w:rsidRPr="00500AF7" w:rsidRDefault="00A451C4" w:rsidP="001A1E4E">
      <w:pPr>
        <w:jc w:val="both"/>
      </w:pPr>
      <w:r w:rsidRPr="00500AF7">
        <w:t>Kv</w:t>
      </w:r>
      <w:r w:rsidRPr="00500AF7">
        <w:rPr>
          <w:rFonts w:cs="Tahoma"/>
        </w:rPr>
        <w:t>ô</w:t>
      </w:r>
      <w:r w:rsidRPr="00500AF7">
        <w:t>li ochrane p</w:t>
      </w:r>
      <w:r>
        <w:t>r</w:t>
      </w:r>
      <w:r w:rsidRPr="00500AF7">
        <w:t>ed nadmerným termickým zaťažením od vzniknutého tepla v priestore horenia je celá šachta až po výšku klapky sklzu o</w:t>
      </w:r>
      <w:r>
        <w:t>še</w:t>
      </w:r>
      <w:r w:rsidRPr="00500AF7">
        <w:t>trená vodou</w:t>
      </w:r>
      <w:r>
        <w:t xml:space="preserve"> </w:t>
      </w:r>
      <w:r w:rsidRPr="00500AF7">
        <w:t xml:space="preserve">chladeným plášťom („I“). Ako chladiace médium sa používa </w:t>
      </w:r>
      <w:r>
        <w:t xml:space="preserve">úžitková </w:t>
      </w:r>
      <w:r w:rsidRPr="00500AF7">
        <w:t>voda.</w:t>
      </w:r>
    </w:p>
    <w:p w14:paraId="73587E73" w14:textId="77777777" w:rsidR="00A451C4" w:rsidRPr="003C0921" w:rsidRDefault="00A451C4" w:rsidP="001A1E4E">
      <w:pPr>
        <w:jc w:val="both"/>
        <w:rPr>
          <w:color w:val="FF0000"/>
        </w:rPr>
      </w:pPr>
    </w:p>
    <w:p w14:paraId="24F7F34C" w14:textId="77777777" w:rsidR="00A451C4" w:rsidRPr="006955DB" w:rsidRDefault="00A451C4" w:rsidP="001A1E4E">
      <w:pPr>
        <w:jc w:val="both"/>
        <w:rPr>
          <w:b/>
          <w:u w:val="single"/>
        </w:rPr>
      </w:pPr>
      <w:r w:rsidRPr="006955DB">
        <w:rPr>
          <w:b/>
          <w:u w:val="single"/>
        </w:rPr>
        <w:t xml:space="preserve">2.4 </w:t>
      </w:r>
      <w:proofErr w:type="spellStart"/>
      <w:r w:rsidRPr="006955DB">
        <w:rPr>
          <w:b/>
          <w:u w:val="single"/>
        </w:rPr>
        <w:t>Zavážací</w:t>
      </w:r>
      <w:proofErr w:type="spellEnd"/>
      <w:r w:rsidRPr="006955DB">
        <w:rPr>
          <w:b/>
          <w:u w:val="single"/>
        </w:rPr>
        <w:t xml:space="preserve"> st</w:t>
      </w:r>
      <w:r w:rsidRPr="006955DB">
        <w:rPr>
          <w:rFonts w:cs="Tahoma"/>
          <w:b/>
          <w:u w:val="single"/>
        </w:rPr>
        <w:t>ô</w:t>
      </w:r>
      <w:r w:rsidRPr="006955DB">
        <w:rPr>
          <w:b/>
          <w:u w:val="single"/>
        </w:rPr>
        <w:t>l</w:t>
      </w:r>
    </w:p>
    <w:p w14:paraId="573D6547" w14:textId="77777777" w:rsidR="00A451C4" w:rsidRPr="00CC21B1" w:rsidRDefault="00A451C4" w:rsidP="001A1E4E">
      <w:pPr>
        <w:jc w:val="both"/>
      </w:pPr>
      <w:r w:rsidRPr="00CC21B1">
        <w:t xml:space="preserve">Pomocou </w:t>
      </w:r>
      <w:proofErr w:type="spellStart"/>
      <w:r w:rsidRPr="00CC21B1">
        <w:t>zaváž</w:t>
      </w:r>
      <w:r>
        <w:t>a</w:t>
      </w:r>
      <w:r w:rsidRPr="00CC21B1">
        <w:t>cích</w:t>
      </w:r>
      <w:proofErr w:type="spellEnd"/>
      <w:r w:rsidRPr="00CC21B1">
        <w:t xml:space="preserve"> piestov („K“) sa dostáva prúd odpadu zo zvislého smeru spádu do horizontálneho dopravného pohybu. Gravit</w:t>
      </w:r>
      <w:r>
        <w:t>áciou</w:t>
      </w:r>
      <w:r w:rsidRPr="00CC21B1">
        <w:t xml:space="preserve"> stlačený odpad sa tým ďalekosiahle skyprí. </w:t>
      </w:r>
      <w:proofErr w:type="spellStart"/>
      <w:r w:rsidRPr="00CC21B1">
        <w:t>Zavážacie</w:t>
      </w:r>
      <w:proofErr w:type="spellEnd"/>
      <w:r w:rsidRPr="00CC21B1">
        <w:t xml:space="preserve"> piesty sa pohybujú na </w:t>
      </w:r>
      <w:proofErr w:type="spellStart"/>
      <w:r w:rsidRPr="00CC21B1">
        <w:t>klzniciach</w:t>
      </w:r>
      <w:proofErr w:type="spellEnd"/>
      <w:r w:rsidRPr="00CC21B1">
        <w:t xml:space="preserve"> („L“) v prednej posuvnej oblasti odpadu a vodiacich valcoch („M) v zadnej oblasti. Zo strany pohonu je na prechodovej časti umiestnené </w:t>
      </w:r>
      <w:proofErr w:type="spellStart"/>
      <w:r w:rsidRPr="00CC21B1">
        <w:t>stieracie</w:t>
      </w:r>
      <w:proofErr w:type="spellEnd"/>
      <w:r w:rsidRPr="00CC21B1">
        <w:t xml:space="preserve"> zariadenie („N), ktoré zabraňuje neželanému vedeniu odpadu za </w:t>
      </w:r>
      <w:proofErr w:type="spellStart"/>
      <w:r w:rsidRPr="00CC21B1">
        <w:t>zavážac</w:t>
      </w:r>
      <w:r>
        <w:t>ie</w:t>
      </w:r>
      <w:proofErr w:type="spellEnd"/>
      <w:r w:rsidRPr="00CC21B1">
        <w:t xml:space="preserve"> piest</w:t>
      </w:r>
      <w:r>
        <w:t>y</w:t>
      </w:r>
      <w:r w:rsidRPr="00CC21B1">
        <w:t>. Týmto prevádzkovým sp</w:t>
      </w:r>
      <w:r w:rsidRPr="00CC21B1">
        <w:rPr>
          <w:rFonts w:cs="Tahoma"/>
        </w:rPr>
        <w:t xml:space="preserve">ôsobom sa dosiahne optimálne kyprenie reťazca odpadu, ako aj predsušenie odpadu už na </w:t>
      </w:r>
      <w:proofErr w:type="spellStart"/>
      <w:r w:rsidRPr="00CC21B1">
        <w:rPr>
          <w:rFonts w:cs="Tahoma"/>
        </w:rPr>
        <w:t>zavážacom</w:t>
      </w:r>
      <w:proofErr w:type="spellEnd"/>
      <w:r w:rsidRPr="00CC21B1">
        <w:rPr>
          <w:rFonts w:cs="Tahoma"/>
        </w:rPr>
        <w:t xml:space="preserve"> stole. Cez tzv. prepadovú hranu („O“) sa odpad zasunie na</w:t>
      </w:r>
      <w:r>
        <w:rPr>
          <w:rFonts w:cs="Tahoma"/>
        </w:rPr>
        <w:t xml:space="preserve"> </w:t>
      </w:r>
      <w:r w:rsidRPr="00CC21B1">
        <w:rPr>
          <w:rFonts w:cs="Tahoma"/>
        </w:rPr>
        <w:t xml:space="preserve">koniec zo </w:t>
      </w:r>
      <w:proofErr w:type="spellStart"/>
      <w:r w:rsidRPr="00CC21B1">
        <w:rPr>
          <w:rFonts w:cs="Tahoma"/>
        </w:rPr>
        <w:t>zavážacieho</w:t>
      </w:r>
      <w:proofErr w:type="spellEnd"/>
      <w:r w:rsidRPr="00CC21B1">
        <w:rPr>
          <w:rFonts w:cs="Tahoma"/>
        </w:rPr>
        <w:t xml:space="preserve"> stola na rošt. Pohon </w:t>
      </w:r>
      <w:proofErr w:type="spellStart"/>
      <w:r w:rsidRPr="00CC21B1">
        <w:rPr>
          <w:rFonts w:cs="Tahoma"/>
        </w:rPr>
        <w:t>zavážacích</w:t>
      </w:r>
      <w:proofErr w:type="spellEnd"/>
      <w:r w:rsidRPr="00CC21B1">
        <w:rPr>
          <w:rFonts w:cs="Tahoma"/>
        </w:rPr>
        <w:t xml:space="preserve"> piestov sa uskutočňuje hydraulickým valcom („P“). Doba taktu, d</w:t>
      </w:r>
      <w:r>
        <w:rPr>
          <w:rFonts w:cs="Tahoma"/>
        </w:rPr>
        <w:t>ĺ</w:t>
      </w:r>
      <w:r w:rsidRPr="00CC21B1">
        <w:rPr>
          <w:rFonts w:cs="Tahoma"/>
        </w:rPr>
        <w:t xml:space="preserve">žka zdvihu a rýchlosť zdvihu sa neustále automaticky optimalizujú regulovaním výkonu na dosiahnutie rovnomerného vyhorenia a rovnomernej výroby pary. </w:t>
      </w:r>
      <w:r>
        <w:rPr>
          <w:rFonts w:cs="Tahoma"/>
        </w:rPr>
        <w:t>Pre</w:t>
      </w:r>
      <w:r w:rsidRPr="00CC21B1">
        <w:rPr>
          <w:rFonts w:cs="Tahoma"/>
        </w:rPr>
        <w:t> ďalšie prekypreni</w:t>
      </w:r>
      <w:r>
        <w:rPr>
          <w:rFonts w:cs="Tahoma"/>
        </w:rPr>
        <w:t>e</w:t>
      </w:r>
      <w:r w:rsidRPr="00CC21B1">
        <w:rPr>
          <w:rFonts w:cs="Tahoma"/>
        </w:rPr>
        <w:t xml:space="preserve"> odpadu pracujú </w:t>
      </w:r>
      <w:proofErr w:type="spellStart"/>
      <w:r w:rsidRPr="00CC21B1">
        <w:rPr>
          <w:rFonts w:cs="Tahoma"/>
        </w:rPr>
        <w:t>zavážacie</w:t>
      </w:r>
      <w:proofErr w:type="spellEnd"/>
      <w:r w:rsidRPr="00CC21B1">
        <w:rPr>
          <w:rFonts w:cs="Tahoma"/>
        </w:rPr>
        <w:t xml:space="preserve"> piesty jednotlivých roštových pásov striedavo v závislosti od dráhy.</w:t>
      </w:r>
    </w:p>
    <w:p w14:paraId="6963373F" w14:textId="77777777" w:rsidR="00A451C4" w:rsidRDefault="00A451C4" w:rsidP="001A1E4E">
      <w:pPr>
        <w:ind w:left="1"/>
        <w:jc w:val="both"/>
        <w:rPr>
          <w:rFonts w:cstheme="minorHAnsi"/>
          <w:b/>
          <w:bCs/>
        </w:rPr>
      </w:pPr>
    </w:p>
    <w:p w14:paraId="1E4B5FA7" w14:textId="77777777" w:rsidR="00A451C4" w:rsidRPr="00900714" w:rsidRDefault="00A451C4" w:rsidP="001A1E4E">
      <w:pPr>
        <w:autoSpaceDE w:val="0"/>
        <w:autoSpaceDN w:val="0"/>
        <w:adjustRightInd w:val="0"/>
        <w:spacing w:after="40" w:line="240" w:lineRule="auto"/>
        <w:jc w:val="both"/>
        <w:rPr>
          <w:rFonts w:ascii="Tahoma" w:eastAsia="Calibri" w:hAnsi="Tahoma"/>
          <w:b/>
          <w:bCs/>
          <w:iCs/>
          <w:sz w:val="20"/>
          <w:szCs w:val="24"/>
          <w:u w:val="single"/>
        </w:rPr>
      </w:pPr>
      <w:r w:rsidRPr="00900714">
        <w:rPr>
          <w:rFonts w:ascii="Tahoma" w:eastAsia="Calibri" w:hAnsi="Tahoma"/>
          <w:b/>
          <w:bCs/>
          <w:iCs/>
          <w:sz w:val="20"/>
          <w:szCs w:val="24"/>
          <w:u w:val="single"/>
        </w:rPr>
        <w:t xml:space="preserve">PODÁVACÍ A PRECHODOVÝ </w:t>
      </w:r>
      <w:proofErr w:type="spellStart"/>
      <w:r w:rsidRPr="00900714">
        <w:rPr>
          <w:rFonts w:ascii="Tahoma" w:eastAsia="Calibri" w:hAnsi="Tahoma"/>
          <w:b/>
          <w:bCs/>
          <w:iCs/>
          <w:sz w:val="20"/>
          <w:szCs w:val="24"/>
          <w:u w:val="single"/>
        </w:rPr>
        <w:t>ST</w:t>
      </w:r>
      <w:r>
        <w:rPr>
          <w:rFonts w:ascii="Tahoma" w:eastAsia="Calibri" w:hAnsi="Tahoma"/>
          <w:b/>
          <w:bCs/>
          <w:iCs/>
          <w:sz w:val="20"/>
          <w:szCs w:val="24"/>
          <w:u w:val="single"/>
        </w:rPr>
        <w:t>ô</w:t>
      </w:r>
      <w:r w:rsidRPr="00900714">
        <w:rPr>
          <w:rFonts w:ascii="Tahoma" w:eastAsia="Calibri" w:hAnsi="Tahoma"/>
          <w:b/>
          <w:bCs/>
          <w:iCs/>
          <w:sz w:val="20"/>
          <w:szCs w:val="24"/>
          <w:u w:val="single"/>
        </w:rPr>
        <w:t>L</w:t>
      </w:r>
      <w:proofErr w:type="spellEnd"/>
      <w:r w:rsidRPr="00900714">
        <w:rPr>
          <w:rFonts w:ascii="Tahoma" w:eastAsia="Calibri" w:hAnsi="Tahoma"/>
          <w:b/>
          <w:bCs/>
          <w:iCs/>
          <w:sz w:val="20"/>
          <w:szCs w:val="24"/>
          <w:u w:val="single"/>
        </w:rPr>
        <w:t xml:space="preserve"> – Kotol K1</w:t>
      </w:r>
    </w:p>
    <w:p w14:paraId="4CA1557F" w14:textId="77777777" w:rsidR="00A451C4" w:rsidRPr="0050631E" w:rsidRDefault="00A451C4" w:rsidP="001A1E4E">
      <w:pPr>
        <w:autoSpaceDE w:val="0"/>
        <w:autoSpaceDN w:val="0"/>
        <w:adjustRightInd w:val="0"/>
        <w:spacing w:after="40" w:line="240" w:lineRule="auto"/>
        <w:jc w:val="both"/>
        <w:rPr>
          <w:rFonts w:ascii="Tahoma" w:eastAsia="Calibri" w:hAnsi="Tahoma"/>
          <w:i/>
          <w:sz w:val="20"/>
          <w:szCs w:val="24"/>
          <w:u w:val="single"/>
        </w:rPr>
      </w:pPr>
    </w:p>
    <w:p w14:paraId="6459BC15" w14:textId="77777777" w:rsidR="00A451C4" w:rsidRPr="00532D12" w:rsidRDefault="00A451C4" w:rsidP="001A1E4E">
      <w:pPr>
        <w:autoSpaceDE w:val="0"/>
        <w:autoSpaceDN w:val="0"/>
        <w:adjustRightInd w:val="0"/>
        <w:spacing w:after="240" w:line="240" w:lineRule="auto"/>
        <w:jc w:val="both"/>
        <w:rPr>
          <w:rFonts w:cstheme="minorHAnsi"/>
          <w:szCs w:val="20"/>
        </w:rPr>
      </w:pPr>
      <w:r w:rsidRPr="003B7830">
        <w:rPr>
          <w:rFonts w:cstheme="minorHAnsi"/>
          <w:szCs w:val="20"/>
          <w:u w:val="single"/>
        </w:rPr>
        <w:t>Podávací a prechodový stôl bude vymenený iba pri kotly K1</w:t>
      </w:r>
      <w:r w:rsidRPr="00532D12">
        <w:rPr>
          <w:rFonts w:cstheme="minorHAnsi"/>
          <w:szCs w:val="20"/>
        </w:rPr>
        <w:t>. Stôl nadväzuje na šachtu a spaľovaciu komoru kotla. Táto časť bude vymenená kompletne vrátane horných hydraulických valcov (spodná zostanú existujúce).</w:t>
      </w:r>
    </w:p>
    <w:p w14:paraId="61914E63" w14:textId="77777777" w:rsidR="00A451C4" w:rsidRPr="00532D12" w:rsidRDefault="00A451C4" w:rsidP="001A1E4E">
      <w:pPr>
        <w:autoSpaceDE w:val="0"/>
        <w:autoSpaceDN w:val="0"/>
        <w:adjustRightInd w:val="0"/>
        <w:spacing w:after="240" w:line="240" w:lineRule="auto"/>
        <w:jc w:val="both"/>
        <w:rPr>
          <w:rFonts w:cstheme="minorHAnsi"/>
          <w:szCs w:val="20"/>
        </w:rPr>
      </w:pPr>
      <w:r w:rsidRPr="00532D12">
        <w:rPr>
          <w:rFonts w:cstheme="minorHAnsi"/>
          <w:szCs w:val="20"/>
        </w:rPr>
        <w:t xml:space="preserve">Stôl sa nachádza na úrovni zhruba 13,2 metrov. Najbližšie nižšie </w:t>
      </w:r>
      <w:proofErr w:type="spellStart"/>
      <w:r w:rsidRPr="00532D12">
        <w:rPr>
          <w:rFonts w:cstheme="minorHAnsi"/>
          <w:szCs w:val="20"/>
        </w:rPr>
        <w:t>pochôdzne</w:t>
      </w:r>
      <w:proofErr w:type="spellEnd"/>
      <w:r w:rsidRPr="00532D12">
        <w:rPr>
          <w:rFonts w:cstheme="minorHAnsi"/>
          <w:szCs w:val="20"/>
        </w:rPr>
        <w:t xml:space="preserve"> podlažie sa nachádza na úrovni + 11,2 metrov a je betónové. Celková hmotnosť cca 8 ton.</w:t>
      </w:r>
    </w:p>
    <w:p w14:paraId="1E792739" w14:textId="77777777" w:rsidR="00A451C4" w:rsidRPr="00532D12" w:rsidRDefault="00A451C4" w:rsidP="001A1E4E">
      <w:pPr>
        <w:autoSpaceDE w:val="0"/>
        <w:autoSpaceDN w:val="0"/>
        <w:adjustRightInd w:val="0"/>
        <w:spacing w:after="240" w:line="240" w:lineRule="auto"/>
        <w:jc w:val="both"/>
        <w:rPr>
          <w:rFonts w:cstheme="minorHAnsi"/>
          <w:szCs w:val="20"/>
        </w:rPr>
      </w:pPr>
      <w:r w:rsidRPr="00532D12">
        <w:rPr>
          <w:rFonts w:cstheme="minorHAnsi"/>
          <w:szCs w:val="20"/>
        </w:rPr>
        <w:t>Stôl je vyrobený z uhlíkového materiálu, niektoré komponenty sú nerezové (napr. hydraulické valce).</w:t>
      </w:r>
    </w:p>
    <w:p w14:paraId="28E287D5" w14:textId="65999CE0" w:rsidR="00A451C4" w:rsidRDefault="00A451C4" w:rsidP="001A1E4E">
      <w:pPr>
        <w:jc w:val="both"/>
        <w:rPr>
          <w:rFonts w:cstheme="minorHAnsi"/>
          <w:szCs w:val="20"/>
        </w:rPr>
      </w:pPr>
      <w:r w:rsidRPr="00532D12">
        <w:rPr>
          <w:rFonts w:cstheme="minorHAnsi"/>
          <w:szCs w:val="20"/>
        </w:rPr>
        <w:t>Príloha č. 2 – Podávací (01.504.3014Z), prechodový stôl (01.400.1373L/R) – výkres</w:t>
      </w:r>
    </w:p>
    <w:p w14:paraId="51242886" w14:textId="5F7755D0" w:rsidR="00FF66B1" w:rsidRPr="00532D12" w:rsidRDefault="00FF66B1" w:rsidP="001A1E4E">
      <w:pPr>
        <w:jc w:val="both"/>
        <w:rPr>
          <w:rFonts w:cstheme="minorHAnsi"/>
          <w:szCs w:val="20"/>
        </w:rPr>
      </w:pPr>
      <w:r>
        <w:rPr>
          <w:rFonts w:cstheme="minorHAnsi"/>
          <w:szCs w:val="20"/>
        </w:rPr>
        <w:object w:dxaOrig="1520" w:dyaOrig="987" w14:anchorId="0023F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6" o:title=""/>
          </v:shape>
          <o:OLEObject Type="Embed" ProgID="AcroExch.Document.DC" ShapeID="_x0000_i1025" DrawAspect="Icon" ObjectID="_1677568098" r:id="rId7"/>
        </w:object>
      </w:r>
    </w:p>
    <w:p w14:paraId="1581ACDB" w14:textId="7E44B853" w:rsidR="00A451C4" w:rsidRDefault="00A451C4" w:rsidP="001A1E4E">
      <w:pPr>
        <w:jc w:val="both"/>
        <w:rPr>
          <w:rFonts w:cstheme="minorHAnsi"/>
          <w:szCs w:val="20"/>
        </w:rPr>
      </w:pPr>
      <w:r w:rsidRPr="00532D12">
        <w:rPr>
          <w:rFonts w:cstheme="minorHAnsi"/>
          <w:szCs w:val="20"/>
        </w:rPr>
        <w:t>Príloha č. 3 - Podávací, prechodový stôl – Fotodokumentácia</w:t>
      </w:r>
    </w:p>
    <w:p w14:paraId="2D604B81" w14:textId="0A972AE3" w:rsidR="00FF66B1" w:rsidRDefault="00FF66B1" w:rsidP="001A1E4E">
      <w:pPr>
        <w:jc w:val="both"/>
        <w:rPr>
          <w:rFonts w:cstheme="minorHAnsi"/>
          <w:szCs w:val="20"/>
        </w:rPr>
      </w:pPr>
      <w:r>
        <w:rPr>
          <w:rFonts w:cstheme="minorHAnsi"/>
          <w:noProof/>
          <w:szCs w:val="20"/>
        </w:rPr>
        <w:lastRenderedPageBreak/>
        <w:drawing>
          <wp:inline distT="0" distB="0" distL="0" distR="0" wp14:anchorId="3CD7CA9F" wp14:editId="6564DF5F">
            <wp:extent cx="5760720" cy="568452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684520"/>
                    </a:xfrm>
                    <a:prstGeom prst="rect">
                      <a:avLst/>
                    </a:prstGeom>
                    <a:noFill/>
                    <a:ln>
                      <a:noFill/>
                    </a:ln>
                  </pic:spPr>
                </pic:pic>
              </a:graphicData>
            </a:graphic>
          </wp:inline>
        </w:drawing>
      </w:r>
    </w:p>
    <w:p w14:paraId="2AD1030F" w14:textId="77777777" w:rsidR="00A451C4"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F6F2473" w14:textId="77777777" w:rsidR="00A451C4" w:rsidRPr="00B65366"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B65366">
        <w:rPr>
          <w:rFonts w:cstheme="minorHAnsi"/>
          <w:b/>
          <w:bCs/>
          <w:szCs w:val="20"/>
        </w:rPr>
        <w:t>Záručná doba:</w:t>
      </w:r>
    </w:p>
    <w:p w14:paraId="55D62CFD" w14:textId="77777777" w:rsidR="00A451C4" w:rsidRPr="00B65366"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1488BE41" w14:textId="77777777" w:rsidR="00A451C4" w:rsidRPr="00B65366" w:rsidRDefault="00A451C4" w:rsidP="001A1E4E">
      <w:pPr>
        <w:numPr>
          <w:ilvl w:val="0"/>
          <w:numId w:val="9"/>
        </w:numPr>
        <w:tabs>
          <w:tab w:val="left" w:pos="284"/>
          <w:tab w:val="left" w:pos="851"/>
          <w:tab w:val="left" w:pos="998"/>
          <w:tab w:val="left" w:pos="3975"/>
          <w:tab w:val="center" w:pos="4819"/>
          <w:tab w:val="center" w:pos="7797"/>
          <w:tab w:val="center" w:pos="8931"/>
          <w:tab w:val="right" w:pos="9071"/>
        </w:tabs>
        <w:spacing w:after="0" w:line="240" w:lineRule="auto"/>
        <w:ind w:right="-256" w:hanging="738"/>
        <w:jc w:val="both"/>
        <w:rPr>
          <w:rFonts w:cstheme="minorHAnsi"/>
          <w:szCs w:val="20"/>
        </w:rPr>
      </w:pPr>
      <w:r w:rsidRPr="00B65366">
        <w:rPr>
          <w:rFonts w:cstheme="minorHAnsi"/>
          <w:szCs w:val="20"/>
        </w:rPr>
        <w:t>24 mesiacov na zariadenia</w:t>
      </w:r>
    </w:p>
    <w:p w14:paraId="5CF77D02" w14:textId="77777777" w:rsidR="00A451C4" w:rsidRDefault="00A451C4" w:rsidP="001A1E4E">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AFE7977" w14:textId="77777777" w:rsidR="00575964" w:rsidRPr="00066E94" w:rsidRDefault="00B966D1" w:rsidP="001A1E4E">
      <w:pPr>
        <w:jc w:val="both"/>
        <w:rPr>
          <w:b/>
          <w:bCs/>
        </w:rPr>
      </w:pPr>
      <w:r w:rsidRPr="00066E94">
        <w:rPr>
          <w:b/>
          <w:bCs/>
        </w:rPr>
        <w:t xml:space="preserve">Dodacia doba: </w:t>
      </w:r>
    </w:p>
    <w:p w14:paraId="1C68AA80" w14:textId="52F2E315" w:rsidR="00BB7159" w:rsidRPr="00575964" w:rsidRDefault="00B966D1" w:rsidP="00575964">
      <w:pPr>
        <w:numPr>
          <w:ilvl w:val="0"/>
          <w:numId w:val="9"/>
        </w:numPr>
        <w:tabs>
          <w:tab w:val="left" w:pos="284"/>
          <w:tab w:val="left" w:pos="851"/>
          <w:tab w:val="left" w:pos="998"/>
          <w:tab w:val="left" w:pos="3975"/>
          <w:tab w:val="center" w:pos="4819"/>
          <w:tab w:val="center" w:pos="7797"/>
          <w:tab w:val="center" w:pos="8931"/>
          <w:tab w:val="right" w:pos="9071"/>
        </w:tabs>
        <w:spacing w:after="0" w:line="240" w:lineRule="auto"/>
        <w:ind w:right="-256" w:hanging="738"/>
        <w:jc w:val="both"/>
        <w:rPr>
          <w:rFonts w:cstheme="minorHAnsi"/>
          <w:szCs w:val="20"/>
        </w:rPr>
      </w:pPr>
      <w:r w:rsidRPr="00575964">
        <w:rPr>
          <w:rFonts w:cstheme="minorHAnsi"/>
          <w:szCs w:val="20"/>
        </w:rPr>
        <w:t>do 6 týž</w:t>
      </w:r>
      <w:r w:rsidR="00575964" w:rsidRPr="00575964">
        <w:rPr>
          <w:rFonts w:cstheme="minorHAnsi"/>
          <w:szCs w:val="20"/>
        </w:rPr>
        <w:t>d</w:t>
      </w:r>
      <w:r w:rsidRPr="00575964">
        <w:rPr>
          <w:rFonts w:cstheme="minorHAnsi"/>
          <w:szCs w:val="20"/>
        </w:rPr>
        <w:t>ňo</w:t>
      </w:r>
      <w:r w:rsidR="00575964" w:rsidRPr="00575964">
        <w:rPr>
          <w:rFonts w:cstheme="minorHAnsi"/>
          <w:szCs w:val="20"/>
        </w:rPr>
        <w:t>v</w:t>
      </w:r>
      <w:r w:rsidRPr="00575964">
        <w:rPr>
          <w:rFonts w:cstheme="minorHAnsi"/>
          <w:szCs w:val="20"/>
        </w:rPr>
        <w:t xml:space="preserve"> od vystavenia objednávky</w:t>
      </w:r>
    </w:p>
    <w:sectPr w:rsidR="00BB7159" w:rsidRPr="005759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F2B98"/>
    <w:multiLevelType w:val="hybridMultilevel"/>
    <w:tmpl w:val="3F0C173C"/>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1" w15:restartNumberingAfterBreak="0">
    <w:nsid w:val="254A43C8"/>
    <w:multiLevelType w:val="hybridMultilevel"/>
    <w:tmpl w:val="2EA499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C184093"/>
    <w:multiLevelType w:val="hybridMultilevel"/>
    <w:tmpl w:val="F7E25D12"/>
    <w:lvl w:ilvl="0" w:tplc="D7C652C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364706BF"/>
    <w:multiLevelType w:val="hybridMultilevel"/>
    <w:tmpl w:val="0DC490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6F436D1"/>
    <w:multiLevelType w:val="hybridMultilevel"/>
    <w:tmpl w:val="4D0066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55E51D8"/>
    <w:multiLevelType w:val="hybridMultilevel"/>
    <w:tmpl w:val="032AA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714195"/>
    <w:multiLevelType w:val="hybridMultilevel"/>
    <w:tmpl w:val="81AE7448"/>
    <w:lvl w:ilvl="0" w:tplc="104811FE">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7" w15:restartNumberingAfterBreak="0">
    <w:nsid w:val="5CC52A4A"/>
    <w:multiLevelType w:val="hybridMultilevel"/>
    <w:tmpl w:val="38903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1BD2284"/>
    <w:multiLevelType w:val="hybridMultilevel"/>
    <w:tmpl w:val="8ECCB4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7"/>
  </w:num>
  <w:num w:numId="5">
    <w:abstractNumId w:val="4"/>
  </w:num>
  <w:num w:numId="6">
    <w:abstractNumId w:val="1"/>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97"/>
    <w:rsid w:val="00066E94"/>
    <w:rsid w:val="001A1E4E"/>
    <w:rsid w:val="00575964"/>
    <w:rsid w:val="0069030E"/>
    <w:rsid w:val="009E11BD"/>
    <w:rsid w:val="00A451C4"/>
    <w:rsid w:val="00B966D1"/>
    <w:rsid w:val="00BB7159"/>
    <w:rsid w:val="00ED3A97"/>
    <w:rsid w:val="00FF66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00B81"/>
  <w15:chartTrackingRefBased/>
  <w15:docId w15:val="{85047556-96B7-4F25-ACC2-0E58AB9B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rsid w:val="00A451C4"/>
    <w:pPr>
      <w:spacing w:after="12" w:line="267" w:lineRule="auto"/>
      <w:ind w:left="720" w:right="59" w:hanging="10"/>
      <w:contextualSpacing/>
      <w:jc w:val="both"/>
    </w:pPr>
    <w:rPr>
      <w:rFonts w:ascii="Times New Roman" w:eastAsia="Times New Roman" w:hAnsi="Times New Roman" w:cs="Times New Roman"/>
      <w:color w:val="000000"/>
      <w:sz w:val="24"/>
      <w:lang w:eastAsia="sk-SK"/>
    </w:rPr>
  </w:style>
  <w:style w:type="character" w:customStyle="1" w:styleId="OdsekzoznamuChar">
    <w:name w:val="Odsek zoznamu Char"/>
    <w:aliases w:val="body Char,Odsek zoznamu2 Char,Odsek Char"/>
    <w:link w:val="Odsekzoznamu"/>
    <w:uiPriority w:val="34"/>
    <w:qFormat/>
    <w:rsid w:val="00A451C4"/>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816</Words>
  <Characters>4657</Characters>
  <Application>Microsoft Office Word</Application>
  <DocSecurity>0</DocSecurity>
  <Lines>38</Lines>
  <Paragraphs>10</Paragraphs>
  <ScaleCrop>false</ScaleCrop>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Kanóc</dc:creator>
  <cp:keywords/>
  <dc:description/>
  <cp:lastModifiedBy>Alexander Kanóc</cp:lastModifiedBy>
  <cp:revision>9</cp:revision>
  <dcterms:created xsi:type="dcterms:W3CDTF">2021-03-05T14:24:00Z</dcterms:created>
  <dcterms:modified xsi:type="dcterms:W3CDTF">2021-03-18T09:22:00Z</dcterms:modified>
</cp:coreProperties>
</file>