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35541D" w:rsidRPr="0019483C" w14:paraId="3D1E4975" w14:textId="77777777" w:rsidTr="00480F32">
        <w:tc>
          <w:tcPr>
            <w:tcW w:w="1719" w:type="pct"/>
            <w:shd w:val="clear" w:color="auto" w:fill="auto"/>
          </w:tcPr>
          <w:p w14:paraId="33AAC85B" w14:textId="4238221F" w:rsidR="0035541D" w:rsidRPr="0019483C" w:rsidRDefault="0035541D" w:rsidP="0035541D">
            <w:pPr>
              <w:spacing w:after="0" w:line="360" w:lineRule="auto"/>
              <w:rPr>
                <w:rFonts w:cs="Arial"/>
                <w:szCs w:val="20"/>
              </w:rPr>
            </w:pPr>
            <w:r w:rsidRPr="00A57D71">
              <w:rPr>
                <w:rFonts w:cs="Arial"/>
                <w:szCs w:val="20"/>
              </w:rPr>
              <w:t>Názov:</w:t>
            </w:r>
          </w:p>
        </w:tc>
        <w:tc>
          <w:tcPr>
            <w:tcW w:w="3281" w:type="pct"/>
          </w:tcPr>
          <w:p w14:paraId="39D50B46" w14:textId="55E2D295" w:rsidR="0035541D" w:rsidRPr="0019483C" w:rsidRDefault="0035541D" w:rsidP="0035541D">
            <w:pPr>
              <w:spacing w:after="0" w:line="360" w:lineRule="auto"/>
              <w:jc w:val="both"/>
              <w:rPr>
                <w:rFonts w:cs="Arial"/>
                <w:szCs w:val="20"/>
              </w:rPr>
            </w:pPr>
            <w:r w:rsidRPr="00A57D71">
              <w:t>LESY Slovenskej republiky, štátny podnik (ďalej len „LESY SR“)</w:t>
            </w:r>
          </w:p>
        </w:tc>
      </w:tr>
      <w:tr w:rsidR="0035541D" w:rsidRPr="0019483C" w14:paraId="5E104046" w14:textId="77777777" w:rsidTr="00480F32">
        <w:tc>
          <w:tcPr>
            <w:tcW w:w="1719" w:type="pct"/>
            <w:shd w:val="clear" w:color="auto" w:fill="auto"/>
          </w:tcPr>
          <w:p w14:paraId="4DF4DCDA" w14:textId="43D91EF8" w:rsidR="0035541D" w:rsidRPr="0019483C" w:rsidRDefault="0035541D" w:rsidP="0035541D">
            <w:pPr>
              <w:spacing w:after="0" w:line="360" w:lineRule="auto"/>
              <w:rPr>
                <w:rFonts w:cs="Arial"/>
                <w:szCs w:val="20"/>
              </w:rPr>
            </w:pPr>
            <w:r w:rsidRPr="00A57D71">
              <w:rPr>
                <w:rFonts w:cs="Arial"/>
                <w:szCs w:val="20"/>
              </w:rPr>
              <w:t>Sídlo:</w:t>
            </w:r>
          </w:p>
        </w:tc>
        <w:tc>
          <w:tcPr>
            <w:tcW w:w="3281" w:type="pct"/>
          </w:tcPr>
          <w:p w14:paraId="45C97EBF" w14:textId="5CB9B87E" w:rsidR="0035541D" w:rsidRPr="0019483C" w:rsidRDefault="0035541D" w:rsidP="0035541D">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35541D" w:rsidRPr="0019483C" w14:paraId="60DE2A92" w14:textId="77777777" w:rsidTr="00480F32">
        <w:tc>
          <w:tcPr>
            <w:tcW w:w="1719" w:type="pct"/>
            <w:shd w:val="clear" w:color="auto" w:fill="auto"/>
          </w:tcPr>
          <w:p w14:paraId="307EA3EF" w14:textId="61249C87" w:rsidR="0035541D" w:rsidRPr="0019483C" w:rsidRDefault="0035541D" w:rsidP="0035541D">
            <w:pPr>
              <w:spacing w:after="0" w:line="360" w:lineRule="auto"/>
              <w:rPr>
                <w:rFonts w:cs="Arial"/>
                <w:b/>
                <w:szCs w:val="20"/>
              </w:rPr>
            </w:pPr>
            <w:r w:rsidRPr="00A57D71">
              <w:rPr>
                <w:rFonts w:cs="Arial"/>
                <w:szCs w:val="20"/>
              </w:rPr>
              <w:t>Organizačná zložka:</w:t>
            </w:r>
          </w:p>
        </w:tc>
        <w:tc>
          <w:tcPr>
            <w:tcW w:w="3281" w:type="pct"/>
          </w:tcPr>
          <w:p w14:paraId="0563CDE3" w14:textId="1481FCD2" w:rsidR="0035541D" w:rsidRPr="0019483C" w:rsidRDefault="0035541D" w:rsidP="0035541D">
            <w:pPr>
              <w:spacing w:after="0" w:line="360" w:lineRule="auto"/>
              <w:jc w:val="both"/>
            </w:pPr>
            <w:r w:rsidRPr="00A57D71">
              <w:t>Lesy Slovenskej republiky, štátny podnik</w:t>
            </w:r>
          </w:p>
        </w:tc>
      </w:tr>
      <w:tr w:rsidR="0035541D" w:rsidRPr="0019483C" w14:paraId="5B0CD712" w14:textId="77777777" w:rsidTr="00480F32">
        <w:tc>
          <w:tcPr>
            <w:tcW w:w="1719" w:type="pct"/>
            <w:shd w:val="clear" w:color="auto" w:fill="auto"/>
          </w:tcPr>
          <w:p w14:paraId="46140A37" w14:textId="77777777" w:rsidR="0035541D" w:rsidRPr="0019483C" w:rsidRDefault="0035541D" w:rsidP="0035541D">
            <w:pPr>
              <w:spacing w:after="0" w:line="360" w:lineRule="auto"/>
              <w:rPr>
                <w:rFonts w:cs="Arial"/>
                <w:szCs w:val="20"/>
              </w:rPr>
            </w:pPr>
          </w:p>
        </w:tc>
        <w:tc>
          <w:tcPr>
            <w:tcW w:w="3281" w:type="pct"/>
          </w:tcPr>
          <w:p w14:paraId="09D8BE65" w14:textId="2183FFE8" w:rsidR="0035541D" w:rsidRPr="0019483C" w:rsidRDefault="0035541D" w:rsidP="0035541D">
            <w:pPr>
              <w:spacing w:after="0" w:line="360" w:lineRule="auto"/>
              <w:jc w:val="both"/>
              <w:rPr>
                <w:highlight w:val="yellow"/>
              </w:rPr>
            </w:pPr>
            <w:r w:rsidRPr="009030D2">
              <w:t xml:space="preserve">Odštepný závod Prievidza </w:t>
            </w:r>
          </w:p>
        </w:tc>
      </w:tr>
      <w:tr w:rsidR="0035541D" w:rsidRPr="0019483C" w14:paraId="449AD2A7" w14:textId="77777777" w:rsidTr="00480F32">
        <w:tc>
          <w:tcPr>
            <w:tcW w:w="1719" w:type="pct"/>
            <w:shd w:val="clear" w:color="auto" w:fill="auto"/>
          </w:tcPr>
          <w:p w14:paraId="16A3B817" w14:textId="0EA4775F" w:rsidR="0035541D" w:rsidRPr="0019483C" w:rsidRDefault="0035541D" w:rsidP="0035541D">
            <w:pPr>
              <w:spacing w:after="0" w:line="360" w:lineRule="auto"/>
              <w:rPr>
                <w:rFonts w:cs="Arial"/>
                <w:szCs w:val="20"/>
              </w:rPr>
            </w:pPr>
            <w:r w:rsidRPr="00A57D71">
              <w:rPr>
                <w:rFonts w:cs="Arial"/>
                <w:szCs w:val="20"/>
              </w:rPr>
              <w:t>Sídlo:</w:t>
            </w:r>
          </w:p>
        </w:tc>
        <w:tc>
          <w:tcPr>
            <w:tcW w:w="3281" w:type="pct"/>
          </w:tcPr>
          <w:p w14:paraId="21DA0913" w14:textId="29DEE1A6" w:rsidR="0035541D" w:rsidRPr="0019483C" w:rsidRDefault="0035541D" w:rsidP="0035541D">
            <w:pPr>
              <w:spacing w:after="0" w:line="360" w:lineRule="auto"/>
              <w:jc w:val="both"/>
              <w:rPr>
                <w:highlight w:val="yellow"/>
              </w:rPr>
            </w:pPr>
            <w:proofErr w:type="spellStart"/>
            <w:r w:rsidRPr="009030D2">
              <w:t>Švéniho</w:t>
            </w:r>
            <w:proofErr w:type="spellEnd"/>
            <w:r w:rsidRPr="009030D2">
              <w:t xml:space="preserve"> 7, Prievidza</w:t>
            </w:r>
          </w:p>
        </w:tc>
      </w:tr>
      <w:tr w:rsidR="0035541D" w:rsidRPr="0019483C" w14:paraId="77CB6DF1" w14:textId="77777777" w:rsidTr="00480F32">
        <w:tc>
          <w:tcPr>
            <w:tcW w:w="1719" w:type="pct"/>
            <w:shd w:val="clear" w:color="auto" w:fill="auto"/>
          </w:tcPr>
          <w:p w14:paraId="029025B7" w14:textId="5B426656" w:rsidR="0035541D" w:rsidRPr="0019483C" w:rsidRDefault="0035541D" w:rsidP="0035541D">
            <w:pPr>
              <w:spacing w:after="0" w:line="360" w:lineRule="auto"/>
              <w:rPr>
                <w:rFonts w:cs="Arial"/>
                <w:szCs w:val="20"/>
              </w:rPr>
            </w:pPr>
            <w:r w:rsidRPr="00A57D71">
              <w:rPr>
                <w:rFonts w:cs="Arial"/>
                <w:szCs w:val="20"/>
              </w:rPr>
              <w:t>Právne zastúpený:</w:t>
            </w:r>
          </w:p>
        </w:tc>
        <w:tc>
          <w:tcPr>
            <w:tcW w:w="3281" w:type="pct"/>
          </w:tcPr>
          <w:p w14:paraId="6F03972C" w14:textId="10880106" w:rsidR="0035541D" w:rsidRPr="0019483C" w:rsidRDefault="0035541D" w:rsidP="0035541D">
            <w:pPr>
              <w:spacing w:after="0" w:line="360" w:lineRule="auto"/>
              <w:jc w:val="both"/>
              <w:rPr>
                <w:highlight w:val="yellow"/>
              </w:rPr>
            </w:pPr>
            <w:r w:rsidRPr="009030D2">
              <w:t>Ing. Ján Mokrý - riaditeľ odštepného závodu</w:t>
            </w:r>
          </w:p>
        </w:tc>
      </w:tr>
      <w:tr w:rsidR="0035541D" w:rsidRPr="0019483C" w14:paraId="2749E9A6" w14:textId="77777777" w:rsidTr="00480F32">
        <w:tc>
          <w:tcPr>
            <w:tcW w:w="1719" w:type="pct"/>
            <w:shd w:val="clear" w:color="auto" w:fill="auto"/>
          </w:tcPr>
          <w:p w14:paraId="5245AA2A" w14:textId="14C5AE8E" w:rsidR="0035541D" w:rsidRPr="0019483C" w:rsidRDefault="0035541D" w:rsidP="0035541D">
            <w:pPr>
              <w:spacing w:after="0" w:line="360" w:lineRule="auto"/>
              <w:rPr>
                <w:rFonts w:cs="Arial"/>
                <w:szCs w:val="20"/>
              </w:rPr>
            </w:pPr>
            <w:r w:rsidRPr="00A57D71">
              <w:rPr>
                <w:rFonts w:cs="Arial"/>
                <w:szCs w:val="20"/>
              </w:rPr>
              <w:t>IČO:</w:t>
            </w:r>
          </w:p>
        </w:tc>
        <w:tc>
          <w:tcPr>
            <w:tcW w:w="3281" w:type="pct"/>
          </w:tcPr>
          <w:p w14:paraId="559DF196" w14:textId="134110E7" w:rsidR="0035541D" w:rsidRPr="0019483C" w:rsidRDefault="0035541D" w:rsidP="0035541D">
            <w:pPr>
              <w:spacing w:after="0" w:line="360" w:lineRule="auto"/>
              <w:jc w:val="both"/>
            </w:pPr>
            <w:r w:rsidRPr="00A57D71">
              <w:t>36038351</w:t>
            </w:r>
          </w:p>
        </w:tc>
      </w:tr>
      <w:tr w:rsidR="0035541D" w:rsidRPr="0019483C" w14:paraId="75CED0C4" w14:textId="77777777" w:rsidTr="00480F32">
        <w:tc>
          <w:tcPr>
            <w:tcW w:w="1719" w:type="pct"/>
            <w:shd w:val="clear" w:color="auto" w:fill="auto"/>
          </w:tcPr>
          <w:p w14:paraId="59955D32" w14:textId="19F85D31" w:rsidR="0035541D" w:rsidRPr="0019483C" w:rsidRDefault="0035541D" w:rsidP="0035541D">
            <w:pPr>
              <w:spacing w:after="0" w:line="360" w:lineRule="auto"/>
              <w:rPr>
                <w:rFonts w:cs="Arial"/>
                <w:szCs w:val="20"/>
              </w:rPr>
            </w:pPr>
            <w:r w:rsidRPr="00A57D71">
              <w:rPr>
                <w:rFonts w:cs="Arial"/>
                <w:szCs w:val="20"/>
              </w:rPr>
              <w:t>DIČ:</w:t>
            </w:r>
          </w:p>
        </w:tc>
        <w:tc>
          <w:tcPr>
            <w:tcW w:w="3281" w:type="pct"/>
          </w:tcPr>
          <w:p w14:paraId="5225237A" w14:textId="0FFEAA35" w:rsidR="0035541D" w:rsidRPr="0019483C" w:rsidRDefault="0035541D" w:rsidP="0035541D">
            <w:pPr>
              <w:spacing w:after="0" w:line="360" w:lineRule="auto"/>
              <w:jc w:val="both"/>
            </w:pPr>
            <w:r w:rsidRPr="00A57D71">
              <w:t>2020087982</w:t>
            </w:r>
          </w:p>
        </w:tc>
      </w:tr>
      <w:tr w:rsidR="0035541D" w:rsidRPr="0019483C" w14:paraId="344D2A6F" w14:textId="77777777" w:rsidTr="00480F32">
        <w:tc>
          <w:tcPr>
            <w:tcW w:w="1719" w:type="pct"/>
            <w:shd w:val="clear" w:color="auto" w:fill="auto"/>
          </w:tcPr>
          <w:p w14:paraId="1A2BDA0E" w14:textId="6C41D0E9" w:rsidR="0035541D" w:rsidRPr="0019483C" w:rsidRDefault="0035541D" w:rsidP="0035541D">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5D6875C5" w:rsidR="0035541D" w:rsidRPr="0019483C" w:rsidRDefault="0035541D" w:rsidP="0035541D">
            <w:pPr>
              <w:spacing w:after="0" w:line="360" w:lineRule="auto"/>
              <w:jc w:val="both"/>
            </w:pPr>
            <w:r w:rsidRPr="00A57D71">
              <w:t>SK2020087982</w:t>
            </w:r>
          </w:p>
        </w:tc>
      </w:tr>
      <w:tr w:rsidR="0035541D" w:rsidRPr="0019483C" w14:paraId="6FF22AB0" w14:textId="77777777" w:rsidTr="00480F32">
        <w:tc>
          <w:tcPr>
            <w:tcW w:w="1719" w:type="pct"/>
            <w:shd w:val="clear" w:color="auto" w:fill="auto"/>
          </w:tcPr>
          <w:p w14:paraId="0F61B2A1" w14:textId="04BA9F0D" w:rsidR="0035541D" w:rsidRPr="0019483C" w:rsidRDefault="0035541D" w:rsidP="0035541D">
            <w:pPr>
              <w:spacing w:after="0" w:line="360" w:lineRule="auto"/>
              <w:rPr>
                <w:rFonts w:cs="Arial"/>
                <w:szCs w:val="20"/>
              </w:rPr>
            </w:pPr>
            <w:r w:rsidRPr="00A57D71">
              <w:rPr>
                <w:rFonts w:cs="Arial"/>
                <w:szCs w:val="20"/>
              </w:rPr>
              <w:t>Štát:</w:t>
            </w:r>
          </w:p>
        </w:tc>
        <w:tc>
          <w:tcPr>
            <w:tcW w:w="3281" w:type="pct"/>
          </w:tcPr>
          <w:p w14:paraId="320E76D9" w14:textId="3AFD3AD0" w:rsidR="0035541D" w:rsidRPr="0019483C" w:rsidRDefault="0035541D" w:rsidP="0035541D">
            <w:pPr>
              <w:spacing w:after="0" w:line="360" w:lineRule="auto"/>
              <w:jc w:val="both"/>
            </w:pPr>
            <w:r w:rsidRPr="00A57D71">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A8DD570" w14:textId="77777777" w:rsidR="0035541D" w:rsidRPr="00A57D71" w:rsidRDefault="0035541D" w:rsidP="0035541D">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5541D" w:rsidRPr="00A57D71" w14:paraId="586426BF" w14:textId="77777777" w:rsidTr="0035541D">
        <w:tc>
          <w:tcPr>
            <w:tcW w:w="1719" w:type="pct"/>
            <w:shd w:val="clear" w:color="auto" w:fill="auto"/>
          </w:tcPr>
          <w:p w14:paraId="3E4207B9" w14:textId="77777777" w:rsidR="0035541D" w:rsidRPr="00A57D71" w:rsidRDefault="0035541D" w:rsidP="0035541D">
            <w:pPr>
              <w:spacing w:after="0" w:line="360" w:lineRule="auto"/>
              <w:rPr>
                <w:rFonts w:cs="Arial"/>
                <w:szCs w:val="20"/>
              </w:rPr>
            </w:pPr>
            <w:r w:rsidRPr="00A57D71">
              <w:rPr>
                <w:rFonts w:cs="Arial"/>
                <w:szCs w:val="20"/>
              </w:rPr>
              <w:t>Meno a priezvisko:</w:t>
            </w:r>
          </w:p>
        </w:tc>
        <w:tc>
          <w:tcPr>
            <w:tcW w:w="3281" w:type="pct"/>
            <w:shd w:val="clear" w:color="auto" w:fill="auto"/>
          </w:tcPr>
          <w:p w14:paraId="062F1C7A" w14:textId="77777777" w:rsidR="0035541D" w:rsidRPr="009030D2" w:rsidRDefault="0035541D" w:rsidP="0035541D">
            <w:pPr>
              <w:spacing w:after="0" w:line="360" w:lineRule="auto"/>
              <w:rPr>
                <w:rFonts w:cs="Arial"/>
                <w:szCs w:val="20"/>
              </w:rPr>
            </w:pPr>
            <w:r w:rsidRPr="009030D2">
              <w:rPr>
                <w:rFonts w:cs="Arial"/>
                <w:szCs w:val="20"/>
              </w:rPr>
              <w:t xml:space="preserve">Ing. Ladislav </w:t>
            </w:r>
            <w:proofErr w:type="spellStart"/>
            <w:r w:rsidRPr="009030D2">
              <w:rPr>
                <w:rFonts w:cs="Arial"/>
                <w:szCs w:val="20"/>
              </w:rPr>
              <w:t>Chalmovianský</w:t>
            </w:r>
            <w:proofErr w:type="spellEnd"/>
          </w:p>
        </w:tc>
      </w:tr>
      <w:tr w:rsidR="0035541D" w:rsidRPr="00A57D71" w14:paraId="7E30FFBE" w14:textId="77777777" w:rsidTr="0035541D">
        <w:tc>
          <w:tcPr>
            <w:tcW w:w="1719" w:type="pct"/>
            <w:shd w:val="clear" w:color="auto" w:fill="auto"/>
          </w:tcPr>
          <w:p w14:paraId="152F5098" w14:textId="77777777" w:rsidR="0035541D" w:rsidRPr="00A57D71" w:rsidRDefault="0035541D" w:rsidP="0035541D">
            <w:pPr>
              <w:spacing w:after="0" w:line="360" w:lineRule="auto"/>
              <w:rPr>
                <w:rFonts w:cs="Arial"/>
                <w:szCs w:val="20"/>
              </w:rPr>
            </w:pPr>
            <w:r w:rsidRPr="00A57D71">
              <w:rPr>
                <w:rFonts w:cs="Arial"/>
                <w:szCs w:val="20"/>
              </w:rPr>
              <w:t>Telefón:</w:t>
            </w:r>
          </w:p>
        </w:tc>
        <w:tc>
          <w:tcPr>
            <w:tcW w:w="3281" w:type="pct"/>
            <w:shd w:val="clear" w:color="auto" w:fill="auto"/>
          </w:tcPr>
          <w:p w14:paraId="53339D93" w14:textId="77777777" w:rsidR="0035541D" w:rsidRPr="009030D2" w:rsidRDefault="0035541D" w:rsidP="0035541D">
            <w:pPr>
              <w:spacing w:after="0" w:line="360" w:lineRule="auto"/>
              <w:rPr>
                <w:rFonts w:cs="Arial"/>
                <w:szCs w:val="20"/>
              </w:rPr>
            </w:pPr>
            <w:r w:rsidRPr="009030D2">
              <w:rPr>
                <w:rFonts w:cs="Arial"/>
                <w:szCs w:val="20"/>
              </w:rPr>
              <w:t>+421918333606</w:t>
            </w:r>
          </w:p>
        </w:tc>
      </w:tr>
      <w:tr w:rsidR="0035541D" w:rsidRPr="00A57D71" w14:paraId="2FCD08E1" w14:textId="77777777" w:rsidTr="0035541D">
        <w:tc>
          <w:tcPr>
            <w:tcW w:w="1719" w:type="pct"/>
            <w:shd w:val="clear" w:color="auto" w:fill="auto"/>
          </w:tcPr>
          <w:p w14:paraId="38D01914" w14:textId="77777777" w:rsidR="0035541D" w:rsidRPr="00A57D71" w:rsidRDefault="0035541D" w:rsidP="0035541D">
            <w:pPr>
              <w:spacing w:after="0" w:line="360" w:lineRule="auto"/>
              <w:rPr>
                <w:rFonts w:cs="Arial"/>
                <w:szCs w:val="20"/>
              </w:rPr>
            </w:pPr>
            <w:r w:rsidRPr="00A57D71">
              <w:rPr>
                <w:rFonts w:cs="Arial"/>
                <w:szCs w:val="20"/>
              </w:rPr>
              <w:t>E-mail:</w:t>
            </w:r>
          </w:p>
        </w:tc>
        <w:tc>
          <w:tcPr>
            <w:tcW w:w="3281" w:type="pct"/>
            <w:shd w:val="clear" w:color="auto" w:fill="auto"/>
          </w:tcPr>
          <w:p w14:paraId="225EF440" w14:textId="77777777" w:rsidR="0035541D" w:rsidRPr="009030D2" w:rsidRDefault="0035541D" w:rsidP="0035541D">
            <w:pPr>
              <w:spacing w:after="0" w:line="360" w:lineRule="auto"/>
              <w:rPr>
                <w:rFonts w:cs="Arial"/>
                <w:b/>
                <w:szCs w:val="20"/>
              </w:rPr>
            </w:pPr>
            <w:r w:rsidRPr="009030D2">
              <w:rPr>
                <w:rFonts w:cs="Arial"/>
                <w:szCs w:val="20"/>
              </w:rPr>
              <w:t>ladislav.chalmovianský@lesy.sk</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075B8426" w:rsidR="00E11E5E" w:rsidRPr="0019483C" w:rsidRDefault="00773128" w:rsidP="00E11E5E">
      <w:pPr>
        <w:spacing w:after="0"/>
        <w:jc w:val="both"/>
        <w:rPr>
          <w:rFonts w:cs="Arial"/>
          <w:b/>
          <w:szCs w:val="20"/>
        </w:rPr>
      </w:pPr>
      <w:r w:rsidRPr="008F374A">
        <w:rPr>
          <w:rFonts w:cs="Arial"/>
          <w:szCs w:val="20"/>
        </w:rPr>
        <w:t xml:space="preserve">Nákup </w:t>
      </w:r>
      <w:r w:rsidR="00AB6525" w:rsidRPr="008F374A">
        <w:rPr>
          <w:rFonts w:cs="Arial"/>
          <w:szCs w:val="20"/>
        </w:rPr>
        <w:t xml:space="preserve">rúr </w:t>
      </w:r>
      <w:r w:rsidRPr="008F374A">
        <w:rPr>
          <w:rFonts w:cs="Arial"/>
          <w:szCs w:val="20"/>
        </w:rPr>
        <w:t xml:space="preserve">pre OZ </w:t>
      </w:r>
      <w:r w:rsidR="0035541D" w:rsidRPr="008F374A">
        <w:rPr>
          <w:rFonts w:cs="Arial"/>
          <w:szCs w:val="20"/>
        </w:rPr>
        <w:t>Prievidza</w:t>
      </w:r>
      <w:r w:rsidR="008F374A">
        <w:rPr>
          <w:rFonts w:cs="Arial"/>
          <w:szCs w:val="20"/>
        </w:rPr>
        <w:t xml:space="preserve"> vlastným odberom</w:t>
      </w:r>
      <w:r w:rsidR="00BF5A05" w:rsidRPr="008F374A">
        <w:rPr>
          <w:rFonts w:cs="Arial"/>
          <w:szCs w:val="20"/>
        </w:rPr>
        <w:t xml:space="preserve"> </w:t>
      </w:r>
      <w:r w:rsidRPr="008F374A">
        <w:rPr>
          <w:rFonts w:cs="Arial"/>
          <w:szCs w:val="20"/>
        </w:rPr>
        <w:t>-</w:t>
      </w:r>
      <w:r w:rsidR="00AB6525" w:rsidRPr="008F374A">
        <w:rPr>
          <w:rFonts w:cs="Arial"/>
          <w:szCs w:val="20"/>
        </w:rPr>
        <w:t xml:space="preserve"> </w:t>
      </w:r>
      <w:r w:rsidR="00BF5A05" w:rsidRPr="008F374A">
        <w:rPr>
          <w:rFonts w:cs="Arial"/>
          <w:color w:val="333333"/>
          <w:szCs w:val="20"/>
          <w:shd w:val="clear" w:color="auto" w:fill="FFFFFF"/>
        </w:rPr>
        <w:t>časť C - Nákup plastových rúr</w:t>
      </w:r>
      <w:r w:rsidR="00AB6525" w:rsidRPr="008F374A">
        <w:rPr>
          <w:rFonts w:cs="Arial"/>
          <w:szCs w:val="20"/>
        </w:rPr>
        <w:t xml:space="preserve"> - </w:t>
      </w:r>
      <w:r w:rsidRPr="008F374A">
        <w:rPr>
          <w:rFonts w:cs="Arial"/>
          <w:szCs w:val="20"/>
        </w:rPr>
        <w:t xml:space="preserve">výzva č. </w:t>
      </w:r>
      <w:r w:rsidR="00BF5A05" w:rsidRPr="008F374A">
        <w:rPr>
          <w:rFonts w:cs="Arial"/>
          <w:szCs w:val="20"/>
        </w:rPr>
        <w:t>1</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24FA14F5" w:rsidR="00E11E5E" w:rsidRPr="0019483C" w:rsidRDefault="00E11E5E" w:rsidP="00E11E5E">
      <w:pPr>
        <w:spacing w:after="0"/>
        <w:jc w:val="both"/>
        <w:rPr>
          <w:rFonts w:cs="Arial"/>
          <w:bCs/>
          <w:szCs w:val="20"/>
        </w:rPr>
      </w:pPr>
      <w:r w:rsidRPr="0019483C">
        <w:rPr>
          <w:rFonts w:cs="Arial"/>
          <w:bCs/>
          <w:szCs w:val="20"/>
        </w:rPr>
        <w:t xml:space="preserve">Suma: </w:t>
      </w:r>
      <w:r w:rsidR="00BF5A05" w:rsidRPr="008F374A">
        <w:rPr>
          <w:rFonts w:cs="Arial"/>
          <w:bCs/>
          <w:szCs w:val="20"/>
        </w:rPr>
        <w:t>4670</w:t>
      </w:r>
      <w:r w:rsidRPr="008F374A">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438ABC95" w14:textId="77777777" w:rsidR="00B65669" w:rsidRDefault="00AB6525" w:rsidP="007F65D7">
      <w:pPr>
        <w:autoSpaceDE w:val="0"/>
        <w:autoSpaceDN w:val="0"/>
        <w:adjustRightInd w:val="0"/>
        <w:spacing w:after="0"/>
        <w:jc w:val="both"/>
        <w:rPr>
          <w:rFonts w:cs="Arial"/>
          <w:szCs w:val="20"/>
        </w:rPr>
      </w:pPr>
      <w:r w:rsidRPr="0019483C">
        <w:rPr>
          <w:rFonts w:cs="Arial"/>
          <w:szCs w:val="20"/>
        </w:rPr>
        <w:t xml:space="preserve">Predmetom zákazky je </w:t>
      </w:r>
      <w:r w:rsidR="00B65669">
        <w:rPr>
          <w:rFonts w:cs="Arial"/>
          <w:szCs w:val="20"/>
        </w:rPr>
        <w:t>Nákup plastových rúr:</w:t>
      </w:r>
    </w:p>
    <w:p w14:paraId="0C1A906E" w14:textId="39A6137B" w:rsidR="0033030D" w:rsidRDefault="0033030D" w:rsidP="007F65D7">
      <w:pPr>
        <w:autoSpaceDE w:val="0"/>
        <w:autoSpaceDN w:val="0"/>
        <w:adjustRightInd w:val="0"/>
        <w:spacing w:after="0"/>
        <w:jc w:val="both"/>
        <w:rPr>
          <w:rFonts w:cs="Arial"/>
          <w:szCs w:val="20"/>
        </w:rPr>
      </w:pPr>
      <w:r>
        <w:rPr>
          <w:rFonts w:cs="Arial"/>
          <w:szCs w:val="20"/>
        </w:rPr>
        <w:t xml:space="preserve">Rúra </w:t>
      </w:r>
      <w:proofErr w:type="spellStart"/>
      <w:r>
        <w:rPr>
          <w:rFonts w:cs="Arial"/>
          <w:szCs w:val="20"/>
        </w:rPr>
        <w:t>Korug</w:t>
      </w:r>
      <w:proofErr w:type="spellEnd"/>
      <w:r>
        <w:rPr>
          <w:rFonts w:cs="Arial"/>
          <w:szCs w:val="20"/>
        </w:rPr>
        <w:t xml:space="preserve"> SN 8 HR DN 400 x 5000    7 ks </w:t>
      </w:r>
    </w:p>
    <w:p w14:paraId="5A0F9970" w14:textId="553B4B2A" w:rsidR="00B65669" w:rsidRDefault="00B65669" w:rsidP="007F65D7">
      <w:pPr>
        <w:autoSpaceDE w:val="0"/>
        <w:autoSpaceDN w:val="0"/>
        <w:adjustRightInd w:val="0"/>
        <w:spacing w:after="0"/>
        <w:jc w:val="both"/>
        <w:rPr>
          <w:rFonts w:cs="Arial"/>
          <w:szCs w:val="20"/>
        </w:rPr>
      </w:pPr>
      <w:r>
        <w:rPr>
          <w:rFonts w:cs="Arial"/>
          <w:szCs w:val="20"/>
        </w:rPr>
        <w:t xml:space="preserve">Rúra </w:t>
      </w:r>
      <w:proofErr w:type="spellStart"/>
      <w:r>
        <w:rPr>
          <w:rFonts w:cs="Arial"/>
          <w:szCs w:val="20"/>
        </w:rPr>
        <w:t>Korug</w:t>
      </w:r>
      <w:proofErr w:type="spellEnd"/>
      <w:r>
        <w:rPr>
          <w:rFonts w:cs="Arial"/>
          <w:szCs w:val="20"/>
        </w:rPr>
        <w:t xml:space="preserve"> SN 8 HR DN 400 x 6000    8 ks</w:t>
      </w:r>
    </w:p>
    <w:p w14:paraId="70219CE7" w14:textId="5F7E1CEF" w:rsidR="00B65669" w:rsidRDefault="00B65669" w:rsidP="00B65669">
      <w:pPr>
        <w:autoSpaceDE w:val="0"/>
        <w:autoSpaceDN w:val="0"/>
        <w:adjustRightInd w:val="0"/>
        <w:spacing w:after="0"/>
        <w:jc w:val="both"/>
        <w:rPr>
          <w:rFonts w:cs="Arial"/>
          <w:szCs w:val="20"/>
        </w:rPr>
      </w:pPr>
      <w:bookmarkStart w:id="2" w:name="_GoBack"/>
      <w:bookmarkEnd w:id="2"/>
      <w:r>
        <w:rPr>
          <w:rFonts w:cs="Arial"/>
          <w:szCs w:val="20"/>
        </w:rPr>
        <w:t xml:space="preserve">Rúra </w:t>
      </w:r>
      <w:proofErr w:type="spellStart"/>
      <w:r>
        <w:rPr>
          <w:rFonts w:cs="Arial"/>
          <w:szCs w:val="20"/>
        </w:rPr>
        <w:t>Korug</w:t>
      </w:r>
      <w:proofErr w:type="spellEnd"/>
      <w:r>
        <w:rPr>
          <w:rFonts w:cs="Arial"/>
          <w:szCs w:val="20"/>
        </w:rPr>
        <w:t xml:space="preserve"> SN 8 HR DN 600 x 6000    </w:t>
      </w:r>
      <w:r w:rsidR="0033030D">
        <w:rPr>
          <w:rFonts w:cs="Arial"/>
          <w:szCs w:val="20"/>
        </w:rPr>
        <w:t>3</w:t>
      </w:r>
      <w:r>
        <w:rPr>
          <w:rFonts w:cs="Arial"/>
          <w:szCs w:val="20"/>
        </w:rPr>
        <w:t xml:space="preserve"> ks</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7621145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8F374A">
        <w:rPr>
          <w:rFonts w:cs="Arial"/>
          <w:szCs w:val="20"/>
        </w:rPr>
        <w:t xml:space="preserve">Expedičný sklad Veľké Uherce, </w:t>
      </w:r>
      <w:r w:rsidR="008F374A" w:rsidRPr="00115095">
        <w:rPr>
          <w:rFonts w:cs="Arial"/>
          <w:szCs w:val="20"/>
        </w:rPr>
        <w:t>958 41 Veľké Uherce, súradnice 48°37´32,6“N a 18°25´37,2“E (</w:t>
      </w:r>
      <w:r w:rsidR="008F374A" w:rsidRPr="00115095">
        <w:rPr>
          <w:rFonts w:cs="Arial"/>
          <w:color w:val="000000"/>
          <w:szCs w:val="20"/>
        </w:rPr>
        <w:t>48.625728, 18.426992)</w:t>
      </w:r>
      <w:r w:rsidR="008F374A">
        <w:rPr>
          <w:rFonts w:cs="Arial"/>
          <w:szCs w:val="20"/>
        </w:rPr>
        <w:t>, vlastnou dopravou</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1CF1207E" w14:textId="77777777" w:rsidR="00B162DD"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B162DD">
        <w:rPr>
          <w:rFonts w:cs="Arial"/>
          <w:szCs w:val="20"/>
        </w:rPr>
        <w:t>do prevzatia predmetu zákazky, najneskôr do 30.4.2021</w:t>
      </w:r>
    </w:p>
    <w:p w14:paraId="7633A061" w14:textId="65BB7CB2"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B162DD">
        <w:rPr>
          <w:rFonts w:cs="Arial"/>
          <w:szCs w:val="20"/>
        </w:rPr>
        <w:t>do 10 dní odo dňa doručenia objednávky</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3" w:name="_Toc488059675"/>
      <w:r w:rsidRPr="0019483C">
        <w:rPr>
          <w:rFonts w:cs="Arial"/>
          <w:b/>
          <w:szCs w:val="20"/>
        </w:rPr>
        <w:t>Jazyk ponuky</w:t>
      </w:r>
      <w:bookmarkEnd w:id="3"/>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3DE0DC15"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B162DD">
        <w:rPr>
          <w:rFonts w:ascii="Arial" w:hAnsi="Arial" w:cs="Arial"/>
          <w:sz w:val="20"/>
          <w:lang w:val="sk-SK"/>
        </w:rPr>
        <w:t>6.4.2021</w:t>
      </w:r>
      <w:r w:rsidR="00B162DD" w:rsidRPr="00A57D71">
        <w:rPr>
          <w:rFonts w:cs="Arial"/>
          <w:lang w:val="sk-SK"/>
        </w:rPr>
        <w:t xml:space="preserve"> </w:t>
      </w:r>
      <w:r w:rsidR="00B162DD" w:rsidRPr="00A57D71">
        <w:rPr>
          <w:rFonts w:ascii="Arial" w:hAnsi="Arial" w:cs="Arial"/>
          <w:sz w:val="20"/>
          <w:lang w:val="sk-SK"/>
        </w:rPr>
        <w:t xml:space="preserve">do </w:t>
      </w:r>
      <w:r w:rsidR="00B162DD">
        <w:rPr>
          <w:rFonts w:ascii="Arial" w:hAnsi="Arial" w:cs="Arial"/>
          <w:sz w:val="20"/>
          <w:lang w:val="sk-SK"/>
        </w:rPr>
        <w:t>9.00</w:t>
      </w:r>
      <w:r w:rsidR="00B162DD" w:rsidRPr="00A57D71">
        <w:rPr>
          <w:rFonts w:cs="Arial"/>
          <w:lang w:val="sk-SK"/>
        </w:rPr>
        <w:t xml:space="preserve"> </w:t>
      </w:r>
      <w:r w:rsidR="00B162DD" w:rsidRPr="00A57D71">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4" w:name="_Toc488059674"/>
      <w:r w:rsidRPr="0019483C">
        <w:rPr>
          <w:rFonts w:cs="Arial"/>
          <w:b/>
          <w:szCs w:val="20"/>
        </w:rPr>
        <w:t>Podmienky predloženia ponuky</w:t>
      </w:r>
      <w:bookmarkEnd w:id="4"/>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5" w:name="_Toc488059676"/>
      <w:r w:rsidRPr="0019483C">
        <w:rPr>
          <w:rFonts w:cs="Arial"/>
          <w:b/>
          <w:szCs w:val="20"/>
        </w:rPr>
        <w:t>Predkladanie a obsah ponuky</w:t>
      </w:r>
      <w:bookmarkEnd w:id="5"/>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Default="00B76873" w:rsidP="00B76873">
      <w:pPr>
        <w:pStyle w:val="Bezriadkovania"/>
        <w:spacing w:line="276" w:lineRule="auto"/>
        <w:jc w:val="both"/>
        <w:rPr>
          <w:rFonts w:ascii="Arial" w:hAnsi="Arial" w:cs="Arial"/>
          <w:sz w:val="20"/>
          <w:lang w:val="sk-SK"/>
        </w:rPr>
      </w:pPr>
    </w:p>
    <w:p w14:paraId="3EE1A3CC" w14:textId="77777777" w:rsidR="0033030D" w:rsidRDefault="0033030D" w:rsidP="00B76873">
      <w:pPr>
        <w:pStyle w:val="Bezriadkovania"/>
        <w:spacing w:line="276" w:lineRule="auto"/>
        <w:jc w:val="both"/>
        <w:rPr>
          <w:rFonts w:ascii="Arial" w:hAnsi="Arial" w:cs="Arial"/>
          <w:sz w:val="20"/>
          <w:lang w:val="sk-SK"/>
        </w:rPr>
      </w:pPr>
    </w:p>
    <w:p w14:paraId="71559310" w14:textId="77777777" w:rsidR="0033030D" w:rsidRPr="0019483C" w:rsidRDefault="0033030D"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lastRenderedPageBreak/>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6" w:name="_Toc488059680"/>
      <w:r w:rsidRPr="0019483C">
        <w:rPr>
          <w:rFonts w:cs="Arial"/>
          <w:b/>
          <w:szCs w:val="20"/>
        </w:rPr>
        <w:t>Doplnenie, zmena a odvolanie ponuky</w:t>
      </w:r>
      <w:bookmarkEnd w:id="6"/>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 xml:space="preserve">Verejný obstarávateľ bude pri komunikácií s uchádzačmi, resp. záujemcami postupovať v zmysle § 20, ods. 3 ZVO prostredníctvom zabezpečeného komunikačného rozhrania IS JOSEPHINE. Komunikácia </w:t>
      </w:r>
      <w:r w:rsidRPr="0019483C">
        <w:rPr>
          <w:rFonts w:cs="Arial"/>
          <w:szCs w:val="20"/>
        </w:rPr>
        <w:lastRenderedPageBreak/>
        <w:t>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7" w:name="_Toc488059681"/>
      <w:r w:rsidRPr="0019483C">
        <w:rPr>
          <w:rFonts w:cs="Arial"/>
          <w:b/>
          <w:szCs w:val="20"/>
        </w:rPr>
        <w:t>Náklady na ponuku</w:t>
      </w:r>
      <w:bookmarkEnd w:id="7"/>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0DD7BFE7" w:rsidR="00B76873" w:rsidRPr="0019483C" w:rsidRDefault="00B76873" w:rsidP="00B76873">
      <w:pPr>
        <w:spacing w:after="0"/>
        <w:jc w:val="both"/>
        <w:rPr>
          <w:rFonts w:cs="Arial"/>
          <w:szCs w:val="20"/>
        </w:rPr>
      </w:pPr>
      <w:r w:rsidRPr="0019483C">
        <w:rPr>
          <w:rFonts w:cs="Arial"/>
          <w:szCs w:val="20"/>
        </w:rPr>
        <w:t xml:space="preserve">Viazanosť ponúk je do </w:t>
      </w:r>
      <w:r w:rsidR="008F374A" w:rsidRPr="008F374A">
        <w:rPr>
          <w:rFonts w:cs="Arial"/>
          <w:szCs w:val="20"/>
        </w:rPr>
        <w:t>3</w:t>
      </w:r>
      <w:r w:rsidR="00D46DA3" w:rsidRPr="008F374A">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Default="0047462C" w:rsidP="0047462C">
      <w:pPr>
        <w:spacing w:after="0"/>
      </w:pPr>
    </w:p>
    <w:p w14:paraId="7AF7B15D" w14:textId="77777777" w:rsidR="0033030D" w:rsidRDefault="0033030D" w:rsidP="0047462C">
      <w:pPr>
        <w:spacing w:after="0"/>
      </w:pPr>
    </w:p>
    <w:p w14:paraId="0B5C3400" w14:textId="77777777" w:rsidR="0033030D" w:rsidRDefault="0033030D" w:rsidP="0047462C">
      <w:pPr>
        <w:spacing w:after="0"/>
      </w:pPr>
    </w:p>
    <w:p w14:paraId="6B43972C" w14:textId="77777777" w:rsidR="0033030D" w:rsidRPr="0019483C" w:rsidRDefault="0033030D"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8" w:name="_Toc488059687"/>
      <w:r w:rsidRPr="0019483C">
        <w:rPr>
          <w:rFonts w:cs="Arial"/>
          <w:b/>
          <w:szCs w:val="20"/>
        </w:rPr>
        <w:lastRenderedPageBreak/>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8"/>
      <w:r w:rsidRPr="0019483C">
        <w:rPr>
          <w:rFonts w:cs="Arial"/>
          <w:b/>
          <w:szCs w:val="20"/>
        </w:rPr>
        <w:t xml:space="preserve"> (ku konkrétnej výzve)</w:t>
      </w:r>
    </w:p>
    <w:p w14:paraId="50BC9699" w14:textId="4BD024B7" w:rsidR="0047462C" w:rsidRPr="0019483C" w:rsidRDefault="0047462C" w:rsidP="0047462C">
      <w:pPr>
        <w:spacing w:after="0"/>
        <w:jc w:val="both"/>
      </w:pPr>
      <w:r w:rsidRPr="0019483C">
        <w:rPr>
          <w:rFonts w:eastAsia="TimesNewRomanPSMT"/>
        </w:rPr>
        <w:t xml:space="preserve">Otváranie ponúk sa uskutoční elektronicky dňa  </w:t>
      </w:r>
      <w:r w:rsidR="008F374A">
        <w:rPr>
          <w:rFonts w:eastAsia="TimesNewRomanPSMT"/>
        </w:rPr>
        <w:t>6.4.</w:t>
      </w:r>
      <w:r w:rsidR="008F374A" w:rsidRPr="008F374A">
        <w:rPr>
          <w:rFonts w:eastAsia="TimesNewRomanPSMT"/>
        </w:rPr>
        <w:t xml:space="preserve">2021 </w:t>
      </w:r>
      <w:r w:rsidRPr="008F374A">
        <w:rPr>
          <w:rFonts w:eastAsia="TimesNewRomanPSMT"/>
        </w:rPr>
        <w:t>o</w:t>
      </w:r>
      <w:r w:rsidR="008F374A">
        <w:rPr>
          <w:rFonts w:eastAsia="TimesNewRomanPSMT"/>
        </w:rPr>
        <w:t xml:space="preserve"> 9.30 </w:t>
      </w:r>
      <w:r w:rsidRPr="0019483C">
        <w:rPr>
          <w:rFonts w:eastAsia="TimesNewRomanPSMT"/>
        </w:rPr>
        <w:t xml:space="preserve">hod. </w:t>
      </w:r>
      <w:r w:rsidRPr="0019483C">
        <w:t xml:space="preserve">v mieste </w:t>
      </w:r>
      <w:r w:rsidRPr="0019483C">
        <w:rPr>
          <w:rFonts w:eastAsia="TimesNewRomanPSMT"/>
        </w:rPr>
        <w:t xml:space="preserve">sídla verejného obstarávateľa - </w:t>
      </w:r>
      <w:r w:rsidR="008F374A">
        <w:rPr>
          <w:rFonts w:eastAsia="TimesNewRomanPSMT"/>
        </w:rPr>
        <w:t xml:space="preserve">Odštepný závod Prievidza, </w:t>
      </w:r>
      <w:proofErr w:type="spellStart"/>
      <w:r w:rsidR="008F374A">
        <w:rPr>
          <w:rFonts w:eastAsia="TimesNewRomanPSMT"/>
        </w:rPr>
        <w:t>Švéniho</w:t>
      </w:r>
      <w:proofErr w:type="spellEnd"/>
      <w:r w:rsidR="008F374A">
        <w:rPr>
          <w:rFonts w:eastAsia="TimesNewRomanPSMT"/>
        </w:rPr>
        <w:t xml:space="preserve"> 7, 971 53 Prievidza</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lastRenderedPageBreak/>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 xml:space="preserve">podpisu zmluvy najmä, aby včas zabezpečili registráciu do Registra partnerov verejného sektora (podľa </w:t>
      </w:r>
      <w:r w:rsidRPr="0019483C">
        <w:rPr>
          <w:rFonts w:eastAsia="TimesNewRomanPSMT"/>
        </w:rPr>
        <w:lastRenderedPageBreak/>
        <w:t>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779DDBF8" w14:textId="1E2B72F3" w:rsidR="00F30AE8" w:rsidRDefault="00E11E5E" w:rsidP="00F30AE8">
      <w:pPr>
        <w:spacing w:after="0"/>
        <w:jc w:val="both"/>
        <w:rPr>
          <w:rFonts w:cs="Arial"/>
          <w:szCs w:val="20"/>
        </w:rPr>
      </w:pPr>
      <w:r w:rsidRPr="0019483C">
        <w:rPr>
          <w:rFonts w:cs="Arial"/>
          <w:b/>
          <w:szCs w:val="20"/>
        </w:rPr>
        <w:t xml:space="preserve">Predmet zákazky: </w:t>
      </w:r>
      <w:r w:rsidR="00F30AE8" w:rsidRPr="008F374A">
        <w:rPr>
          <w:rFonts w:cs="Arial"/>
          <w:szCs w:val="20"/>
        </w:rPr>
        <w:t>Nákup rúr pre OZ Prievidza</w:t>
      </w:r>
      <w:r w:rsidR="00F30AE8">
        <w:rPr>
          <w:rFonts w:cs="Arial"/>
          <w:szCs w:val="20"/>
        </w:rPr>
        <w:t xml:space="preserve"> vlastným odberom</w:t>
      </w:r>
      <w:r w:rsidR="00F30AE8" w:rsidRPr="008F374A">
        <w:rPr>
          <w:rFonts w:cs="Arial"/>
          <w:szCs w:val="20"/>
        </w:rPr>
        <w:t xml:space="preserve"> - </w:t>
      </w:r>
      <w:r w:rsidR="00F30AE8" w:rsidRPr="008F374A">
        <w:rPr>
          <w:rFonts w:cs="Arial"/>
          <w:color w:val="333333"/>
          <w:szCs w:val="20"/>
          <w:shd w:val="clear" w:color="auto" w:fill="FFFFFF"/>
        </w:rPr>
        <w:t>časť C - Nákup plastových rúr</w:t>
      </w:r>
      <w:r w:rsidR="00F30AE8" w:rsidRPr="008F374A">
        <w:rPr>
          <w:rFonts w:cs="Arial"/>
          <w:szCs w:val="20"/>
        </w:rPr>
        <w:t xml:space="preserve"> </w:t>
      </w:r>
      <w:r w:rsidR="00F30AE8">
        <w:rPr>
          <w:rFonts w:cs="Arial"/>
          <w:szCs w:val="20"/>
        </w:rPr>
        <w:t>–</w:t>
      </w:r>
      <w:r w:rsidR="00F30AE8" w:rsidRPr="008F374A">
        <w:rPr>
          <w:rFonts w:cs="Arial"/>
          <w:szCs w:val="20"/>
        </w:rPr>
        <w:t xml:space="preserve"> </w:t>
      </w:r>
    </w:p>
    <w:p w14:paraId="79100BB3" w14:textId="1C1674EE" w:rsidR="00F30AE8" w:rsidRPr="0019483C" w:rsidRDefault="00F30AE8" w:rsidP="00F30AE8">
      <w:pPr>
        <w:spacing w:after="0"/>
        <w:jc w:val="both"/>
        <w:rPr>
          <w:rFonts w:cs="Arial"/>
          <w:b/>
          <w:szCs w:val="20"/>
        </w:rPr>
      </w:pPr>
      <w:r>
        <w:rPr>
          <w:rFonts w:cs="Arial"/>
          <w:szCs w:val="20"/>
        </w:rPr>
        <w:t xml:space="preserve">                               </w:t>
      </w:r>
      <w:r w:rsidRPr="008F374A">
        <w:rPr>
          <w:rFonts w:cs="Arial"/>
          <w:szCs w:val="20"/>
        </w:rPr>
        <w:t>výzva č. 1</w:t>
      </w: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9483C" w14:paraId="45B0BA76" w14:textId="77777777" w:rsidTr="00A0199F">
        <w:trPr>
          <w:trHeight w:hRule="exact" w:val="675"/>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9483C" w:rsidRDefault="005E0C16" w:rsidP="00E11E5E">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9483C" w:rsidRDefault="005E0C16" w:rsidP="005E0C16">
            <w:pPr>
              <w:spacing w:after="0" w:line="480" w:lineRule="auto"/>
              <w:jc w:val="center"/>
              <w:rPr>
                <w:rFonts w:cs="Arial"/>
                <w:b/>
                <w:szCs w:val="20"/>
              </w:rPr>
            </w:pPr>
            <w:r w:rsidRPr="0019483C">
              <w:rPr>
                <w:rFonts w:cs="Arial"/>
                <w:b/>
                <w:szCs w:val="20"/>
              </w:rPr>
              <w:t>Suma v EUR</w:t>
            </w:r>
          </w:p>
          <w:p w14:paraId="22FA4157" w14:textId="4410C649" w:rsidR="00E11E5E" w:rsidRPr="0019483C" w:rsidRDefault="00E11E5E" w:rsidP="005E0C16">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9483C" w:rsidRDefault="005E0C16" w:rsidP="005E0C16">
            <w:pPr>
              <w:spacing w:after="0" w:line="480" w:lineRule="auto"/>
              <w:jc w:val="center"/>
              <w:rPr>
                <w:rFonts w:cs="Arial"/>
                <w:b/>
                <w:szCs w:val="20"/>
              </w:rPr>
            </w:pPr>
            <w:r w:rsidRPr="0019483C">
              <w:rPr>
                <w:rFonts w:cs="Arial"/>
                <w:b/>
                <w:szCs w:val="20"/>
              </w:rPr>
              <w:t>Suma DPH</w:t>
            </w:r>
          </w:p>
          <w:p w14:paraId="75A97427" w14:textId="29F2F151" w:rsidR="00E11E5E" w:rsidRPr="0019483C" w:rsidRDefault="005E0C16" w:rsidP="005E0C16">
            <w:pPr>
              <w:spacing w:after="0" w:line="480" w:lineRule="auto"/>
              <w:jc w:val="center"/>
              <w:rPr>
                <w:rFonts w:cs="Arial"/>
                <w:b/>
                <w:szCs w:val="20"/>
              </w:rPr>
            </w:pPr>
            <w:r w:rsidRPr="0019483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9483C" w:rsidRDefault="005E0C16" w:rsidP="005E0C16">
            <w:pPr>
              <w:spacing w:after="0" w:line="480" w:lineRule="auto"/>
              <w:jc w:val="center"/>
              <w:rPr>
                <w:rFonts w:cs="Arial"/>
                <w:b/>
                <w:szCs w:val="20"/>
              </w:rPr>
            </w:pPr>
            <w:r w:rsidRPr="0019483C">
              <w:rPr>
                <w:rFonts w:cs="Arial"/>
                <w:b/>
                <w:szCs w:val="20"/>
              </w:rPr>
              <w:t>Suma SPOLU</w:t>
            </w:r>
          </w:p>
          <w:p w14:paraId="00D9FC4D" w14:textId="56EFD652" w:rsidR="00E11E5E" w:rsidRPr="0019483C" w:rsidRDefault="005E0C16" w:rsidP="005E0C16">
            <w:pPr>
              <w:spacing w:after="0" w:line="480" w:lineRule="auto"/>
              <w:jc w:val="center"/>
              <w:rPr>
                <w:rFonts w:cs="Arial"/>
                <w:b/>
                <w:szCs w:val="20"/>
              </w:rPr>
            </w:pPr>
            <w:r w:rsidRPr="0019483C">
              <w:rPr>
                <w:rFonts w:cs="Arial"/>
                <w:b/>
                <w:szCs w:val="20"/>
              </w:rPr>
              <w:t xml:space="preserve">v EUR s </w:t>
            </w:r>
            <w:r w:rsidR="00E11E5E" w:rsidRPr="0019483C">
              <w:rPr>
                <w:rFonts w:cs="Arial"/>
                <w:b/>
                <w:szCs w:val="20"/>
              </w:rPr>
              <w:t>DPH</w:t>
            </w:r>
          </w:p>
        </w:tc>
      </w:tr>
      <w:tr w:rsidR="00F30AE8" w:rsidRPr="0019483C" w14:paraId="2336B9AD"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78D4D678"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834B754"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969BD33"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288C2366" w14:textId="77777777" w:rsidR="00F30AE8" w:rsidRPr="0019483C" w:rsidRDefault="00F30AE8" w:rsidP="00E11E5E">
            <w:pPr>
              <w:spacing w:after="0" w:line="480" w:lineRule="auto"/>
              <w:jc w:val="both"/>
              <w:rPr>
                <w:rFonts w:cs="Arial"/>
                <w:szCs w:val="20"/>
              </w:rPr>
            </w:pPr>
          </w:p>
        </w:tc>
      </w:tr>
      <w:tr w:rsidR="00F30AE8" w:rsidRPr="0019483C" w14:paraId="236E9AA0"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3EABD9BD"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1CD0A30"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20CCE2C"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04E35B2" w14:textId="77777777" w:rsidR="00F30AE8" w:rsidRPr="0019483C" w:rsidRDefault="00F30AE8" w:rsidP="00E11E5E">
            <w:pPr>
              <w:spacing w:after="0" w:line="480" w:lineRule="auto"/>
              <w:jc w:val="both"/>
              <w:rPr>
                <w:rFonts w:cs="Arial"/>
                <w:szCs w:val="20"/>
              </w:rPr>
            </w:pPr>
          </w:p>
        </w:tc>
      </w:tr>
      <w:tr w:rsidR="00F30AE8" w:rsidRPr="0019483C" w14:paraId="19AEEE35"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2180D89D"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702B1C2"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6A5E8D"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24BA49D3" w14:textId="77777777" w:rsidR="00F30AE8" w:rsidRPr="0019483C" w:rsidRDefault="00F30AE8" w:rsidP="00E11E5E">
            <w:pPr>
              <w:spacing w:after="0" w:line="480" w:lineRule="auto"/>
              <w:jc w:val="both"/>
              <w:rPr>
                <w:rFonts w:cs="Arial"/>
                <w:szCs w:val="20"/>
              </w:rPr>
            </w:pPr>
          </w:p>
        </w:tc>
      </w:tr>
      <w:tr w:rsidR="00E11E5E" w:rsidRPr="0019483C" w14:paraId="3DDB7213"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9483C" w:rsidRDefault="00E11E5E" w:rsidP="00E11E5E">
            <w:pPr>
              <w:spacing w:after="0" w:line="480" w:lineRule="auto"/>
              <w:jc w:val="both"/>
              <w:rPr>
                <w:rFonts w:cs="Arial"/>
                <w:szCs w:val="20"/>
              </w:rPr>
            </w:pPr>
            <w:r w:rsidRPr="0019483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9483C"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9483C"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9483C" w:rsidRDefault="00E11E5E" w:rsidP="00E11E5E">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Pr="0019483C" w:rsidRDefault="005E0C16"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3539"/>
        <w:gridCol w:w="3260"/>
        <w:gridCol w:w="2261"/>
      </w:tblGrid>
      <w:tr w:rsidR="005E0C16" w:rsidRPr="0019483C" w14:paraId="0D11CC13" w14:textId="77777777" w:rsidTr="00A0199F">
        <w:trPr>
          <w:trHeight w:hRule="exact" w:val="397"/>
        </w:trPr>
        <w:tc>
          <w:tcPr>
            <w:tcW w:w="3752" w:type="pct"/>
            <w:gridSpan w:val="2"/>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6FD">
        <w:trPr>
          <w:trHeight w:val="68"/>
        </w:trPr>
        <w:tc>
          <w:tcPr>
            <w:tcW w:w="3752" w:type="pct"/>
            <w:gridSpan w:val="2"/>
            <w:tcBorders>
              <w:top w:val="single" w:sz="5" w:space="0" w:color="000000"/>
              <w:left w:val="single" w:sz="5" w:space="0" w:color="000000"/>
              <w:bottom w:val="single" w:sz="6" w:space="0" w:color="000000"/>
              <w:right w:val="single" w:sz="5" w:space="0" w:color="000000"/>
            </w:tcBorders>
            <w:vAlign w:val="center"/>
          </w:tcPr>
          <w:p w14:paraId="7ECEAB99" w14:textId="469EEC93" w:rsidR="005E0C16" w:rsidRPr="0019483C" w:rsidRDefault="005E0C16" w:rsidP="008369EF">
            <w:pPr>
              <w:spacing w:after="0" w:line="276" w:lineRule="auto"/>
              <w:jc w:val="both"/>
              <w:rPr>
                <w:rFonts w:cs="Arial"/>
                <w:szCs w:val="20"/>
              </w:rPr>
            </w:pPr>
            <w:r w:rsidRPr="00A0199F">
              <w:rPr>
                <w:rFonts w:cs="Arial"/>
                <w:szCs w:val="20"/>
              </w:rPr>
              <w:t xml:space="preserve">Vzdialenosť </w:t>
            </w:r>
            <w:r w:rsidR="008C200C" w:rsidRPr="00A0199F">
              <w:rPr>
                <w:rFonts w:cs="Arial"/>
                <w:szCs w:val="20"/>
              </w:rPr>
              <w:t>z miesta nakládky do miesta vykládky</w:t>
            </w:r>
            <w:r w:rsidR="00A0199F" w:rsidRPr="00A0199F">
              <w:rPr>
                <w:rFonts w:cs="Arial"/>
                <w:szCs w:val="20"/>
              </w:rPr>
              <w:t xml:space="preserve"> - 958 41 Veľké Uherce, súradnice 48°37´32,6“N a 18°25´37,2“E (</w:t>
            </w:r>
            <w:r w:rsidR="00A0199F" w:rsidRPr="00A0199F">
              <w:rPr>
                <w:rFonts w:cs="Arial"/>
                <w:color w:val="000000"/>
                <w:szCs w:val="20"/>
              </w:rPr>
              <w:t>48.625728, 18.426992)</w:t>
            </w:r>
          </w:p>
        </w:tc>
        <w:tc>
          <w:tcPr>
            <w:tcW w:w="1248" w:type="pct"/>
            <w:tcBorders>
              <w:top w:val="single" w:sz="5" w:space="0" w:color="000000"/>
              <w:left w:val="single" w:sz="5" w:space="0" w:color="000000"/>
              <w:bottom w:val="single" w:sz="6"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r w:rsidR="008416FD" w:rsidRPr="0019483C" w14:paraId="60DF8DFC" w14:textId="77777777" w:rsidTr="008416FD">
        <w:trPr>
          <w:trHeight w:hRule="exact" w:val="284"/>
        </w:trPr>
        <w:tc>
          <w:tcPr>
            <w:tcW w:w="3752" w:type="pct"/>
            <w:gridSpan w:val="2"/>
            <w:tcBorders>
              <w:top w:val="single" w:sz="6" w:space="0" w:color="000000"/>
              <w:left w:val="nil"/>
              <w:bottom w:val="single" w:sz="6" w:space="0" w:color="000000"/>
              <w:right w:val="nil"/>
            </w:tcBorders>
            <w:vAlign w:val="center"/>
          </w:tcPr>
          <w:p w14:paraId="491DB3E5" w14:textId="77777777" w:rsidR="008416FD" w:rsidRPr="00A0199F" w:rsidRDefault="008416FD" w:rsidP="008369EF">
            <w:pPr>
              <w:spacing w:after="0" w:line="276" w:lineRule="auto"/>
              <w:jc w:val="both"/>
              <w:rPr>
                <w:rFonts w:cs="Arial"/>
                <w:szCs w:val="20"/>
              </w:rPr>
            </w:pPr>
          </w:p>
        </w:tc>
        <w:tc>
          <w:tcPr>
            <w:tcW w:w="1248" w:type="pct"/>
            <w:tcBorders>
              <w:top w:val="single" w:sz="6" w:space="0" w:color="000000"/>
              <w:left w:val="nil"/>
              <w:bottom w:val="single" w:sz="6" w:space="0" w:color="000000"/>
              <w:right w:val="nil"/>
            </w:tcBorders>
          </w:tcPr>
          <w:p w14:paraId="138B44EA" w14:textId="77777777" w:rsidR="008416FD" w:rsidRPr="0019483C" w:rsidRDefault="008416FD" w:rsidP="003672F7">
            <w:pPr>
              <w:spacing w:after="0" w:line="480" w:lineRule="auto"/>
              <w:jc w:val="both"/>
              <w:rPr>
                <w:rFonts w:cs="Arial"/>
                <w:szCs w:val="20"/>
              </w:rPr>
            </w:pPr>
          </w:p>
        </w:tc>
      </w:tr>
      <w:tr w:rsidR="00002C2B" w:rsidRPr="0019483C" w14:paraId="2F54F5E0" w14:textId="77777777" w:rsidTr="008416FD">
        <w:trPr>
          <w:trHeight w:val="68"/>
        </w:trPr>
        <w:tc>
          <w:tcPr>
            <w:tcW w:w="1953" w:type="pct"/>
            <w:tcBorders>
              <w:top w:val="single" w:sz="6"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gridSpan w:val="2"/>
            <w:tcBorders>
              <w:top w:val="single" w:sz="6" w:space="0" w:color="000000"/>
              <w:left w:val="single" w:sz="5" w:space="0" w:color="000000"/>
              <w:bottom w:val="single" w:sz="5" w:space="0" w:color="000000"/>
              <w:right w:val="single" w:sz="5" w:space="0" w:color="000000"/>
            </w:tcBorders>
          </w:tcPr>
          <w:p w14:paraId="216EB651" w14:textId="52771E5E" w:rsidR="00002C2B" w:rsidRPr="0019483C" w:rsidRDefault="00002C2B" w:rsidP="00BF7F84">
            <w:pPr>
              <w:spacing w:after="0" w:line="480" w:lineRule="auto"/>
              <w:jc w:val="center"/>
              <w:rPr>
                <w:rFonts w:cs="Arial"/>
                <w:b/>
                <w:szCs w:val="20"/>
              </w:rPr>
            </w:pP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01B63772" w14:textId="45A51901" w:rsidR="00EC1C7F" w:rsidRPr="0019483C" w:rsidRDefault="00EC1C7F" w:rsidP="0033030D">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37B9" w14:textId="77777777" w:rsidR="00E774BC" w:rsidRDefault="00E774BC">
      <w:r>
        <w:separator/>
      </w:r>
    </w:p>
  </w:endnote>
  <w:endnote w:type="continuationSeparator" w:id="0">
    <w:p w14:paraId="4700C96B" w14:textId="77777777" w:rsidR="00E774BC" w:rsidRDefault="00E7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5541D" w14:paraId="2D4E7A60" w14:textId="77777777" w:rsidTr="002917A0">
              <w:tc>
                <w:tcPr>
                  <w:tcW w:w="7650" w:type="dxa"/>
                </w:tcPr>
                <w:p w14:paraId="161303EA" w14:textId="1282CB35" w:rsidR="0035541D" w:rsidRDefault="0035541D"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35541D" w:rsidRDefault="0035541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F417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F417D">
                    <w:rPr>
                      <w:bCs/>
                      <w:noProof/>
                      <w:sz w:val="18"/>
                      <w:szCs w:val="18"/>
                    </w:rPr>
                    <w:t>11</w:t>
                  </w:r>
                  <w:r w:rsidRPr="007C3D49">
                    <w:rPr>
                      <w:bCs/>
                      <w:sz w:val="18"/>
                      <w:szCs w:val="18"/>
                    </w:rPr>
                    <w:fldChar w:fldCharType="end"/>
                  </w:r>
                </w:p>
              </w:tc>
            </w:tr>
          </w:tbl>
          <w:p w14:paraId="6C1DB06B" w14:textId="09E36B81" w:rsidR="0035541D" w:rsidRPr="002917A0" w:rsidRDefault="00E774B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5541D" w:rsidRDefault="0035541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5541D" w:rsidRDefault="003554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72490" w14:textId="77777777" w:rsidR="00E774BC" w:rsidRDefault="00E774BC">
      <w:r>
        <w:separator/>
      </w:r>
    </w:p>
  </w:footnote>
  <w:footnote w:type="continuationSeparator" w:id="0">
    <w:p w14:paraId="019339B7" w14:textId="77777777" w:rsidR="00E774BC" w:rsidRDefault="00E77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5541D" w14:paraId="14793BB4" w14:textId="77777777" w:rsidTr="007C3D49">
      <w:tc>
        <w:tcPr>
          <w:tcW w:w="1271" w:type="dxa"/>
        </w:tcPr>
        <w:p w14:paraId="22C3DFF4" w14:textId="2E53548F" w:rsidR="0035541D" w:rsidRDefault="0035541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5541D" w:rsidRDefault="0035541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5541D" w:rsidRPr="007C3D49" w:rsidRDefault="0035541D" w:rsidP="007C3D49">
          <w:pPr>
            <w:pStyle w:val="Nadpis4"/>
            <w:tabs>
              <w:tab w:val="clear" w:pos="576"/>
            </w:tabs>
            <w:rPr>
              <w:color w:val="005941"/>
              <w:sz w:val="24"/>
            </w:rPr>
          </w:pPr>
          <w:r w:rsidRPr="007C3D49">
            <w:rPr>
              <w:color w:val="005941"/>
              <w:sz w:val="24"/>
            </w:rPr>
            <w:t>generálne riaditeľstvo</w:t>
          </w:r>
        </w:p>
        <w:p w14:paraId="4F73470A" w14:textId="1081BBBA" w:rsidR="0035541D" w:rsidRDefault="0035541D" w:rsidP="007C3D49">
          <w:pPr>
            <w:pStyle w:val="Nadpis4"/>
            <w:tabs>
              <w:tab w:val="clear" w:pos="576"/>
            </w:tabs>
          </w:pPr>
          <w:r w:rsidRPr="007C3D49">
            <w:rPr>
              <w:color w:val="005941"/>
              <w:sz w:val="24"/>
            </w:rPr>
            <w:t>Námestie SNP 8, 975 66 Banská Bystrica</w:t>
          </w:r>
        </w:p>
      </w:tc>
    </w:tr>
  </w:tbl>
  <w:p w14:paraId="08D1390A" w14:textId="77777777" w:rsidR="0035541D" w:rsidRDefault="0035541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30D"/>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41D"/>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17D"/>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1DC"/>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2E0"/>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69EF"/>
    <w:rsid w:val="00837224"/>
    <w:rsid w:val="008376C1"/>
    <w:rsid w:val="00840302"/>
    <w:rsid w:val="008416FD"/>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74A"/>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99F"/>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2DD"/>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669"/>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13C1"/>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A05"/>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4BC"/>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8"/>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6A9D-690A-4F99-89A2-D6922E4A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4470</Words>
  <Characters>25481</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29892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4</cp:revision>
  <cp:lastPrinted>2020-07-15T05:56:00Z</cp:lastPrinted>
  <dcterms:created xsi:type="dcterms:W3CDTF">2021-03-23T19:49:00Z</dcterms:created>
  <dcterms:modified xsi:type="dcterms:W3CDTF">2021-03-24T19:00:00Z</dcterms:modified>
  <cp:category>EIZ</cp:category>
</cp:coreProperties>
</file>