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543C" w14:textId="77777777" w:rsidR="00E76CC0" w:rsidRDefault="00E76CC0" w:rsidP="00EC2645">
      <w:pPr>
        <w:spacing w:after="0"/>
        <w:rPr>
          <w:rFonts w:ascii="Calibri" w:hAnsi="Calibri" w:cs="Calibri"/>
          <w:i/>
        </w:rPr>
      </w:pPr>
    </w:p>
    <w:p w14:paraId="59DF3310" w14:textId="77777777" w:rsidR="00EC2645" w:rsidRDefault="00EC2645" w:rsidP="00EC2645">
      <w:pPr>
        <w:spacing w:after="0"/>
        <w:rPr>
          <w:rFonts w:ascii="Calibri" w:hAnsi="Calibri" w:cs="Calibri"/>
          <w:i/>
        </w:rPr>
      </w:pPr>
      <w:r>
        <w:rPr>
          <w:noProof/>
          <w:lang w:eastAsia="cs-CZ"/>
        </w:rPr>
        <w:drawing>
          <wp:anchor distT="0" distB="0" distL="114300" distR="114300" simplePos="0" relativeHeight="251659264" behindDoc="1" locked="0" layoutInCell="1" allowOverlap="1" wp14:anchorId="56F0B158" wp14:editId="6AD05BD3">
            <wp:simplePos x="0" y="0"/>
            <wp:positionH relativeFrom="column">
              <wp:posOffset>4102735</wp:posOffset>
            </wp:positionH>
            <wp:positionV relativeFrom="paragraph">
              <wp:posOffset>141605</wp:posOffset>
            </wp:positionV>
            <wp:extent cx="2035810" cy="517525"/>
            <wp:effectExtent l="0" t="0" r="254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extLst>
                        <a:ext uri="{28A0092B-C50C-407E-A947-70E740481C1C}">
                          <a14:useLocalDpi xmlns:a14="http://schemas.microsoft.com/office/drawing/2010/main" val="0"/>
                        </a:ext>
                      </a:extLst>
                    </a:blip>
                    <a:srcRect t="32507" b="33733"/>
                    <a:stretch>
                      <a:fillRect/>
                    </a:stretch>
                  </pic:blipFill>
                  <pic:spPr bwMode="auto">
                    <a:xfrm>
                      <a:off x="0" y="0"/>
                      <a:ext cx="203581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6E18D" w14:textId="77777777" w:rsidR="00EC2645" w:rsidRDefault="00EC2645" w:rsidP="00EC2645">
      <w:pPr>
        <w:spacing w:after="0"/>
        <w:rPr>
          <w:noProof/>
          <w:lang w:eastAsia="cs-CZ"/>
        </w:rPr>
      </w:pPr>
      <w:r w:rsidRPr="009674C8">
        <w:rPr>
          <w:rFonts w:ascii="Calibri" w:hAnsi="Calibri" w:cs="Calibri"/>
          <w:b/>
        </w:rPr>
        <w:t>Specifikace předmětu veřejné zakázky</w:t>
      </w:r>
      <w:r w:rsidRPr="00763FE8">
        <w:rPr>
          <w:noProof/>
          <w:lang w:eastAsia="cs-CZ"/>
        </w:rPr>
        <w:t xml:space="preserve"> </w:t>
      </w:r>
    </w:p>
    <w:p w14:paraId="1CF7B7EA" w14:textId="77777777" w:rsidR="00EC2645" w:rsidRDefault="00EC2645" w:rsidP="00EC2645">
      <w:pPr>
        <w:spacing w:after="0"/>
        <w:rPr>
          <w:noProof/>
          <w:lang w:eastAsia="cs-CZ"/>
        </w:rPr>
      </w:pPr>
    </w:p>
    <w:p w14:paraId="66574FBE" w14:textId="2A2A4A11" w:rsidR="00EC2645" w:rsidRPr="009674C8" w:rsidRDefault="00EC2645" w:rsidP="00EC2645">
      <w:pPr>
        <w:spacing w:after="0"/>
        <w:rPr>
          <w:rFonts w:ascii="Calibri" w:hAnsi="Calibri" w:cs="Calibri"/>
          <w:b/>
        </w:rPr>
      </w:pPr>
      <w:r w:rsidRPr="00763FE8">
        <w:rPr>
          <w:rFonts w:ascii="Calibri" w:hAnsi="Calibri" w:cs="Calibri"/>
          <w:b/>
        </w:rPr>
        <w:t>"Nákup licencí M</w:t>
      </w:r>
      <w:r w:rsidR="00D54193">
        <w:rPr>
          <w:rFonts w:ascii="Calibri" w:hAnsi="Calibri" w:cs="Calibri"/>
          <w:b/>
        </w:rPr>
        <w:t>S</w:t>
      </w:r>
      <w:r w:rsidRPr="00763FE8">
        <w:rPr>
          <w:rFonts w:ascii="Calibri" w:hAnsi="Calibri" w:cs="Calibri"/>
          <w:b/>
        </w:rPr>
        <w:t xml:space="preserve"> </w:t>
      </w:r>
      <w:r w:rsidR="00BF4522">
        <w:rPr>
          <w:rFonts w:ascii="Calibri" w:hAnsi="Calibri" w:cs="Calibri"/>
          <w:b/>
        </w:rPr>
        <w:t>Office</w:t>
      </w:r>
      <w:r w:rsidRPr="00763FE8">
        <w:rPr>
          <w:rFonts w:ascii="Calibri" w:hAnsi="Calibri" w:cs="Calibri"/>
          <w:b/>
        </w:rPr>
        <w:t>"</w:t>
      </w:r>
    </w:p>
    <w:p w14:paraId="3E9B0DA8" w14:textId="77777777" w:rsidR="00EC2645" w:rsidRDefault="00EC2645" w:rsidP="00EC2645">
      <w:pPr>
        <w:spacing w:after="0"/>
        <w:rPr>
          <w:rFonts w:ascii="Calibri" w:hAnsi="Calibri" w:cs="Calibri"/>
          <w:i/>
        </w:rPr>
      </w:pPr>
    </w:p>
    <w:p w14:paraId="5D67B381" w14:textId="77777777" w:rsidR="00EC2645" w:rsidRDefault="00EC2645" w:rsidP="00EC2645">
      <w:pPr>
        <w:spacing w:after="0"/>
        <w:rPr>
          <w:rFonts w:ascii="Calibri" w:hAnsi="Calibri" w:cs="Calibri"/>
          <w:i/>
        </w:rPr>
      </w:pPr>
      <w:bookmarkStart w:id="0" w:name="_MON_1647419956"/>
      <w:bookmarkEnd w:id="0"/>
    </w:p>
    <w:p w14:paraId="6E5E5505" w14:textId="77777777" w:rsidR="00A012EB" w:rsidRDefault="00A012EB" w:rsidP="00EC2645">
      <w:pPr>
        <w:spacing w:after="0"/>
        <w:rPr>
          <w:rFonts w:ascii="Calibri" w:hAnsi="Calibri" w:cs="Calibri"/>
        </w:rPr>
      </w:pPr>
    </w:p>
    <w:tbl>
      <w:tblPr>
        <w:tblStyle w:val="Mkatabulky"/>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29"/>
        <w:gridCol w:w="966"/>
        <w:gridCol w:w="2621"/>
      </w:tblGrid>
      <w:tr w:rsidR="00E02DC5" w14:paraId="2DEFDCE0" w14:textId="2D40CD2D" w:rsidTr="00E02DC5">
        <w:trPr>
          <w:trHeight w:val="656"/>
        </w:trPr>
        <w:tc>
          <w:tcPr>
            <w:tcW w:w="5329" w:type="dxa"/>
            <w:shd w:val="clear" w:color="auto" w:fill="BFBFBF" w:themeFill="background1" w:themeFillShade="BF"/>
            <w:vAlign w:val="center"/>
          </w:tcPr>
          <w:p w14:paraId="33F09601" w14:textId="77777777" w:rsidR="00E02DC5" w:rsidRPr="00A012EB" w:rsidRDefault="00E02DC5" w:rsidP="00E02DC5">
            <w:pPr>
              <w:spacing w:after="0"/>
              <w:rPr>
                <w:rFonts w:ascii="Calibri" w:hAnsi="Calibri" w:cs="Calibri"/>
                <w:b/>
              </w:rPr>
            </w:pPr>
            <w:r w:rsidRPr="00A012EB">
              <w:rPr>
                <w:rFonts w:ascii="Calibri" w:hAnsi="Calibri" w:cs="Calibri"/>
                <w:b/>
              </w:rPr>
              <w:t>Popis</w:t>
            </w:r>
          </w:p>
        </w:tc>
        <w:tc>
          <w:tcPr>
            <w:tcW w:w="966" w:type="dxa"/>
            <w:shd w:val="clear" w:color="auto" w:fill="BFBFBF" w:themeFill="background1" w:themeFillShade="BF"/>
            <w:vAlign w:val="center"/>
          </w:tcPr>
          <w:p w14:paraId="2FB78180" w14:textId="77777777" w:rsidR="00E02DC5" w:rsidRPr="00A012EB" w:rsidRDefault="00E02DC5" w:rsidP="00E02DC5">
            <w:pPr>
              <w:spacing w:after="0"/>
              <w:jc w:val="center"/>
              <w:rPr>
                <w:rFonts w:ascii="Calibri" w:hAnsi="Calibri" w:cs="Calibri"/>
                <w:b/>
              </w:rPr>
            </w:pPr>
            <w:r w:rsidRPr="00A012EB">
              <w:rPr>
                <w:rFonts w:ascii="Calibri" w:hAnsi="Calibri" w:cs="Calibri"/>
                <w:b/>
              </w:rPr>
              <w:t>Ks</w:t>
            </w:r>
          </w:p>
        </w:tc>
        <w:tc>
          <w:tcPr>
            <w:tcW w:w="2621" w:type="dxa"/>
            <w:shd w:val="clear" w:color="auto" w:fill="BFBFBF" w:themeFill="background1" w:themeFillShade="BF"/>
            <w:vAlign w:val="center"/>
          </w:tcPr>
          <w:p w14:paraId="2A0C0A25" w14:textId="208441C3" w:rsidR="00E02DC5" w:rsidRPr="00A012EB" w:rsidRDefault="00E02DC5" w:rsidP="00E02DC5">
            <w:pPr>
              <w:spacing w:after="0"/>
              <w:jc w:val="center"/>
              <w:rPr>
                <w:rFonts w:ascii="Calibri" w:hAnsi="Calibri" w:cs="Calibri"/>
                <w:b/>
              </w:rPr>
            </w:pPr>
            <w:r>
              <w:rPr>
                <w:rFonts w:ascii="Calibri" w:hAnsi="Calibri" w:cs="Calibri"/>
                <w:b/>
              </w:rPr>
              <w:t>Splnění požadavku</w:t>
            </w:r>
          </w:p>
        </w:tc>
      </w:tr>
      <w:tr w:rsidR="00E02DC5" w:rsidRPr="00A012EB" w14:paraId="38A14C4A" w14:textId="2AEDFC45" w:rsidTr="00E02DC5">
        <w:trPr>
          <w:trHeight w:val="1829"/>
        </w:trPr>
        <w:tc>
          <w:tcPr>
            <w:tcW w:w="5329" w:type="dxa"/>
          </w:tcPr>
          <w:p w14:paraId="65F93AE4" w14:textId="77777777" w:rsidR="00E02DC5" w:rsidRPr="0056473E" w:rsidRDefault="00E02DC5" w:rsidP="00E02DC5">
            <w:pPr>
              <w:spacing w:after="0"/>
              <w:rPr>
                <w:rFonts w:ascii="Calibri" w:hAnsi="Calibri" w:cs="Calibri"/>
                <w:sz w:val="8"/>
                <w:szCs w:val="8"/>
              </w:rPr>
            </w:pPr>
          </w:p>
          <w:p w14:paraId="25551B8A" w14:textId="4AF972B4" w:rsidR="00E02DC5" w:rsidRPr="00E02DC5" w:rsidRDefault="00E02DC5" w:rsidP="00E02DC5">
            <w:pPr>
              <w:spacing w:after="0"/>
              <w:rPr>
                <w:rFonts w:ascii="Calibri" w:hAnsi="Calibri" w:cs="Calibri"/>
                <w:sz w:val="24"/>
                <w:szCs w:val="24"/>
              </w:rPr>
            </w:pPr>
            <w:r>
              <w:rPr>
                <w:rFonts w:ascii="Calibri" w:hAnsi="Calibri" w:cs="Calibri"/>
                <w:sz w:val="24"/>
                <w:szCs w:val="24"/>
              </w:rPr>
              <w:t xml:space="preserve">Licence pro instalaci </w:t>
            </w:r>
            <w:r w:rsidRPr="00E02DC5">
              <w:rPr>
                <w:rFonts w:ascii="Calibri" w:hAnsi="Calibri" w:cs="Calibri"/>
                <w:sz w:val="24"/>
                <w:szCs w:val="24"/>
              </w:rPr>
              <w:t xml:space="preserve">Microsoft Office 2016 nebo vyšší, edice </w:t>
            </w:r>
            <w:proofErr w:type="spellStart"/>
            <w:r w:rsidRPr="00E02DC5">
              <w:rPr>
                <w:rFonts w:ascii="Calibri" w:hAnsi="Calibri" w:cs="Calibri"/>
                <w:sz w:val="24"/>
                <w:szCs w:val="24"/>
              </w:rPr>
              <w:t>Home&amp;Business</w:t>
            </w:r>
            <w:proofErr w:type="spellEnd"/>
            <w:r w:rsidRPr="00E02DC5">
              <w:rPr>
                <w:rFonts w:ascii="Calibri" w:hAnsi="Calibri" w:cs="Calibri"/>
                <w:sz w:val="24"/>
                <w:szCs w:val="24"/>
              </w:rPr>
              <w:t xml:space="preserve"> nebo vyšší</w:t>
            </w:r>
          </w:p>
          <w:p w14:paraId="4D0E4763" w14:textId="77777777" w:rsidR="00E02DC5" w:rsidRPr="0056473E" w:rsidRDefault="00E02DC5" w:rsidP="00E02DC5">
            <w:pPr>
              <w:spacing w:after="0"/>
              <w:rPr>
                <w:rFonts w:ascii="Calibri" w:hAnsi="Calibri" w:cs="Calibri"/>
                <w:sz w:val="8"/>
                <w:szCs w:val="8"/>
              </w:rPr>
            </w:pPr>
          </w:p>
          <w:p w14:paraId="37D57B08" w14:textId="77777777" w:rsidR="00E02DC5" w:rsidRPr="00A012EB" w:rsidRDefault="00E02DC5" w:rsidP="00E02DC5">
            <w:pPr>
              <w:spacing w:after="0"/>
              <w:jc w:val="both"/>
              <w:rPr>
                <w:rFonts w:ascii="Calibri" w:hAnsi="Calibri" w:cs="Calibri"/>
                <w:sz w:val="24"/>
                <w:szCs w:val="24"/>
              </w:rPr>
            </w:pPr>
            <w:r w:rsidRPr="009D181E">
              <w:rPr>
                <w:rFonts w:ascii="Calibri" w:hAnsi="Calibri" w:cs="Calibri"/>
              </w:rPr>
              <w:t>za předpokladu doložení patřičných dokumentů a splnění podmínek vyplývajících z</w:t>
            </w:r>
            <w:r>
              <w:rPr>
                <w:sz w:val="20"/>
                <w:szCs w:val="20"/>
              </w:rPr>
              <w:t> </w:t>
            </w:r>
            <w:r w:rsidRPr="009D181E">
              <w:rPr>
                <w:rFonts w:ascii="Calibri" w:hAnsi="Calibri" w:cs="Calibri"/>
              </w:rPr>
              <w:t xml:space="preserve">požadavků národní legislativy, Směrnice Evropského parlamentu a Rady 2009/24/ES ze dne 23. dubna 2009 o právní ochraně počítačových programů, a Rozsudku soudního dvora ze dne 3. června 2012 ve věci C-128/11, a Rozsudku soudního dvora ze dne 12. října 2016 ve věci C-166/15. </w:t>
            </w:r>
          </w:p>
        </w:tc>
        <w:tc>
          <w:tcPr>
            <w:tcW w:w="966" w:type="dxa"/>
          </w:tcPr>
          <w:p w14:paraId="13DDA21F" w14:textId="0ED867E8" w:rsidR="00E02DC5" w:rsidRPr="00A012EB" w:rsidRDefault="00E02DC5" w:rsidP="00E02DC5">
            <w:pPr>
              <w:spacing w:after="0"/>
              <w:jc w:val="center"/>
              <w:rPr>
                <w:rFonts w:ascii="Calibri" w:hAnsi="Calibri" w:cs="Calibri"/>
                <w:sz w:val="24"/>
                <w:szCs w:val="24"/>
              </w:rPr>
            </w:pPr>
            <w:r>
              <w:rPr>
                <w:rFonts w:ascii="Calibri" w:hAnsi="Calibri" w:cs="Calibri"/>
                <w:sz w:val="24"/>
                <w:szCs w:val="24"/>
              </w:rPr>
              <w:t>70</w:t>
            </w:r>
          </w:p>
        </w:tc>
        <w:tc>
          <w:tcPr>
            <w:tcW w:w="2621" w:type="dxa"/>
            <w:shd w:val="clear" w:color="auto" w:fill="FFFF00"/>
          </w:tcPr>
          <w:p w14:paraId="06F399D8" w14:textId="77777777" w:rsidR="00E02DC5" w:rsidRDefault="00E02DC5" w:rsidP="00E02DC5">
            <w:pPr>
              <w:spacing w:after="0"/>
              <w:jc w:val="center"/>
              <w:rPr>
                <w:rFonts w:ascii="Calibri" w:hAnsi="Calibri" w:cs="Calibri"/>
                <w:sz w:val="24"/>
                <w:szCs w:val="24"/>
              </w:rPr>
            </w:pPr>
          </w:p>
        </w:tc>
      </w:tr>
      <w:tr w:rsidR="00E02DC5" w:rsidRPr="00E02DC5" w14:paraId="4CD19541" w14:textId="4A619E7A" w:rsidTr="00E02DC5">
        <w:trPr>
          <w:trHeight w:val="1829"/>
        </w:trPr>
        <w:tc>
          <w:tcPr>
            <w:tcW w:w="5329" w:type="dxa"/>
          </w:tcPr>
          <w:p w14:paraId="38645E41" w14:textId="56136DF4" w:rsidR="00E02DC5" w:rsidRPr="00E02DC5" w:rsidRDefault="00E02DC5" w:rsidP="00E02DC5">
            <w:pPr>
              <w:spacing w:after="0"/>
              <w:rPr>
                <w:rFonts w:ascii="Calibri" w:hAnsi="Calibri" w:cs="Calibri"/>
              </w:rPr>
            </w:pPr>
            <w:r w:rsidRPr="00E02DC5">
              <w:rPr>
                <w:rFonts w:ascii="Calibri" w:hAnsi="Calibri" w:cs="Calibri"/>
              </w:rPr>
              <w:t xml:space="preserve">Forma </w:t>
            </w:r>
            <w:r>
              <w:rPr>
                <w:rFonts w:ascii="Calibri" w:hAnsi="Calibri" w:cs="Calibri"/>
              </w:rPr>
              <w:t>předání licencí, uvedení webové adresy portálu pro předání multilicence</w:t>
            </w:r>
          </w:p>
        </w:tc>
        <w:tc>
          <w:tcPr>
            <w:tcW w:w="966" w:type="dxa"/>
          </w:tcPr>
          <w:p w14:paraId="7D80AF4A" w14:textId="77777777" w:rsidR="00E02DC5" w:rsidRPr="00E02DC5" w:rsidRDefault="00E02DC5" w:rsidP="00E02DC5">
            <w:pPr>
              <w:spacing w:after="0"/>
              <w:jc w:val="center"/>
              <w:rPr>
                <w:rFonts w:ascii="Calibri" w:hAnsi="Calibri" w:cs="Calibri"/>
              </w:rPr>
            </w:pPr>
          </w:p>
        </w:tc>
        <w:tc>
          <w:tcPr>
            <w:tcW w:w="2621" w:type="dxa"/>
            <w:shd w:val="clear" w:color="auto" w:fill="FFFF00"/>
          </w:tcPr>
          <w:p w14:paraId="1E099234" w14:textId="77777777" w:rsidR="00E02DC5" w:rsidRPr="00E02DC5" w:rsidRDefault="00E02DC5" w:rsidP="00E02DC5">
            <w:pPr>
              <w:spacing w:after="0"/>
              <w:jc w:val="center"/>
              <w:rPr>
                <w:rFonts w:ascii="Calibri" w:hAnsi="Calibri" w:cs="Calibri"/>
              </w:rPr>
            </w:pPr>
          </w:p>
        </w:tc>
      </w:tr>
    </w:tbl>
    <w:p w14:paraId="1EF8823C" w14:textId="77777777" w:rsidR="008A5D3A" w:rsidRDefault="008A5D3A" w:rsidP="008A5D3A">
      <w:pPr>
        <w:spacing w:after="0"/>
        <w:rPr>
          <w:rFonts w:ascii="Calibri" w:hAnsi="Calibri" w:cs="Calibri"/>
        </w:rPr>
      </w:pPr>
    </w:p>
    <w:p w14:paraId="3EA8F8FC" w14:textId="77777777" w:rsidR="008A5D3A" w:rsidRDefault="008A5D3A" w:rsidP="008A5D3A">
      <w:pPr>
        <w:spacing w:after="0"/>
        <w:rPr>
          <w:rFonts w:ascii="Calibri" w:hAnsi="Calibri" w:cs="Calibri"/>
        </w:rPr>
      </w:pPr>
    </w:p>
    <w:p w14:paraId="7364B66F" w14:textId="77777777" w:rsidR="008A5D3A" w:rsidRDefault="008A5D3A" w:rsidP="008A5D3A">
      <w:pPr>
        <w:spacing w:after="0"/>
        <w:rPr>
          <w:rFonts w:ascii="Calibri" w:hAnsi="Calibri" w:cs="Calibri"/>
        </w:rPr>
      </w:pPr>
      <w:r w:rsidRPr="00763FE8">
        <w:rPr>
          <w:rFonts w:ascii="Calibri" w:hAnsi="Calibri" w:cs="Calibri"/>
        </w:rPr>
        <w:t xml:space="preserve">Zadavatel s předmětným plnění dodávky počítačového programu Microsoft, </w:t>
      </w:r>
      <w:r>
        <w:rPr>
          <w:rFonts w:ascii="Calibri" w:hAnsi="Calibri" w:cs="Calibri"/>
        </w:rPr>
        <w:t xml:space="preserve">požaduje </w:t>
      </w:r>
      <w:r w:rsidRPr="00763FE8">
        <w:rPr>
          <w:rFonts w:ascii="Calibri" w:hAnsi="Calibri" w:cs="Calibri"/>
        </w:rPr>
        <w:t>nový</w:t>
      </w:r>
      <w:r>
        <w:rPr>
          <w:rFonts w:ascii="Calibri" w:hAnsi="Calibri" w:cs="Calibri"/>
        </w:rPr>
        <w:t xml:space="preserve"> nebo</w:t>
      </w:r>
      <w:r w:rsidRPr="00763FE8">
        <w:rPr>
          <w:rFonts w:ascii="Calibri" w:hAnsi="Calibri" w:cs="Calibri"/>
        </w:rPr>
        <w:t xml:space="preserve"> </w:t>
      </w:r>
      <w:proofErr w:type="spellStart"/>
      <w:r>
        <w:rPr>
          <w:rFonts w:ascii="Calibri" w:hAnsi="Calibri" w:cs="Calibri"/>
        </w:rPr>
        <w:t>přeprodaný</w:t>
      </w:r>
      <w:proofErr w:type="spellEnd"/>
      <w:r>
        <w:rPr>
          <w:rFonts w:ascii="Calibri" w:hAnsi="Calibri" w:cs="Calibri"/>
        </w:rPr>
        <w:t xml:space="preserve"> produkt - licenci</w:t>
      </w:r>
      <w:r w:rsidRPr="00763FE8">
        <w:rPr>
          <w:rFonts w:ascii="Calibri" w:hAnsi="Calibri" w:cs="Calibri"/>
        </w:rPr>
        <w:t xml:space="preserve"> (</w:t>
      </w:r>
      <w:r>
        <w:rPr>
          <w:rFonts w:ascii="Calibri" w:hAnsi="Calibri" w:cs="Calibri"/>
        </w:rPr>
        <w:t xml:space="preserve">tzv. </w:t>
      </w:r>
      <w:r w:rsidRPr="00763FE8">
        <w:rPr>
          <w:rFonts w:ascii="Calibri" w:hAnsi="Calibri" w:cs="Calibri"/>
        </w:rPr>
        <w:t>"druhotná licence")</w:t>
      </w:r>
      <w:r>
        <w:rPr>
          <w:rFonts w:ascii="Calibri" w:hAnsi="Calibri" w:cs="Calibri"/>
        </w:rPr>
        <w:t xml:space="preserve"> ve verzi, která není určená k novým strojům (tzv. OEM verze) nebo </w:t>
      </w:r>
      <w:proofErr w:type="spellStart"/>
      <w:r>
        <w:rPr>
          <w:rFonts w:ascii="Calibri" w:hAnsi="Calibri" w:cs="Calibri"/>
        </w:rPr>
        <w:t>refurbished</w:t>
      </w:r>
      <w:proofErr w:type="spellEnd"/>
      <w:r>
        <w:rPr>
          <w:rFonts w:ascii="Calibri" w:hAnsi="Calibri" w:cs="Calibri"/>
        </w:rPr>
        <w:t xml:space="preserve"> (tzv. repasovaným) strojům</w:t>
      </w:r>
      <w:r w:rsidRPr="00763FE8">
        <w:rPr>
          <w:rFonts w:ascii="Calibri" w:hAnsi="Calibri" w:cs="Calibri"/>
        </w:rPr>
        <w:t>.</w:t>
      </w:r>
      <w:r>
        <w:rPr>
          <w:rFonts w:ascii="Calibri" w:hAnsi="Calibri" w:cs="Calibri"/>
        </w:rPr>
        <w:t xml:space="preserve"> Licence musí být přenositelná.</w:t>
      </w:r>
    </w:p>
    <w:p w14:paraId="79B7A6D3" w14:textId="77777777" w:rsidR="008A5D3A" w:rsidRDefault="008A5D3A" w:rsidP="008A5D3A">
      <w:pPr>
        <w:spacing w:after="0"/>
        <w:rPr>
          <w:rFonts w:ascii="Calibri" w:hAnsi="Calibri" w:cs="Calibri"/>
        </w:rPr>
      </w:pPr>
    </w:p>
    <w:p w14:paraId="1587D914" w14:textId="77777777" w:rsidR="008A5D3A" w:rsidRDefault="008A5D3A" w:rsidP="008A5D3A">
      <w:pPr>
        <w:spacing w:after="0"/>
        <w:rPr>
          <w:rFonts w:ascii="Calibri" w:hAnsi="Calibri" w:cs="Calibri"/>
        </w:rPr>
      </w:pPr>
      <w:r>
        <w:rPr>
          <w:rFonts w:ascii="Calibri" w:hAnsi="Calibri" w:cs="Calibri"/>
        </w:rPr>
        <w:t xml:space="preserve">V případě nabídky </w:t>
      </w:r>
      <w:r w:rsidRPr="00AC51E6">
        <w:rPr>
          <w:rFonts w:ascii="Calibri" w:hAnsi="Calibri" w:cs="Calibri"/>
          <w:b/>
          <w:bCs/>
        </w:rPr>
        <w:t>nového</w:t>
      </w:r>
      <w:r>
        <w:rPr>
          <w:rFonts w:ascii="Calibri" w:hAnsi="Calibri" w:cs="Calibri"/>
        </w:rPr>
        <w:t xml:space="preserve"> produktu požadujeme produkt </w:t>
      </w:r>
      <w:r w:rsidRPr="00763FE8">
        <w:rPr>
          <w:rFonts w:ascii="Calibri" w:hAnsi="Calibri" w:cs="Calibri"/>
        </w:rPr>
        <w:t xml:space="preserve">zabalený s bezpečnostním zakrytím licenčního čísla (tzv. </w:t>
      </w:r>
      <w:proofErr w:type="spellStart"/>
      <w:r w:rsidRPr="00763FE8">
        <w:rPr>
          <w:rFonts w:ascii="Calibri" w:hAnsi="Calibri" w:cs="Calibri"/>
        </w:rPr>
        <w:t>Product</w:t>
      </w:r>
      <w:proofErr w:type="spellEnd"/>
      <w:r w:rsidRPr="00763FE8">
        <w:rPr>
          <w:rFonts w:ascii="Calibri" w:hAnsi="Calibri" w:cs="Calibri"/>
        </w:rPr>
        <w:t xml:space="preserve"> </w:t>
      </w:r>
      <w:proofErr w:type="spellStart"/>
      <w:r w:rsidRPr="00763FE8">
        <w:rPr>
          <w:rFonts w:ascii="Calibri" w:hAnsi="Calibri" w:cs="Calibri"/>
        </w:rPr>
        <w:t>Key</w:t>
      </w:r>
      <w:proofErr w:type="spellEnd"/>
      <w:r w:rsidRPr="00763FE8">
        <w:rPr>
          <w:rFonts w:ascii="Calibri" w:hAnsi="Calibri" w:cs="Calibri"/>
        </w:rPr>
        <w:t>)</w:t>
      </w:r>
      <w:r>
        <w:rPr>
          <w:rFonts w:ascii="Calibri" w:hAnsi="Calibri" w:cs="Calibri"/>
        </w:rPr>
        <w:t xml:space="preserve">. </w:t>
      </w:r>
    </w:p>
    <w:p w14:paraId="179F8173" w14:textId="77777777" w:rsidR="008A5D3A" w:rsidRDefault="008A5D3A" w:rsidP="008A5D3A">
      <w:pPr>
        <w:spacing w:after="0"/>
        <w:rPr>
          <w:rFonts w:ascii="Calibri" w:hAnsi="Calibri" w:cs="Calibri"/>
        </w:rPr>
      </w:pPr>
    </w:p>
    <w:p w14:paraId="5D35E08F" w14:textId="77777777" w:rsidR="008A5D3A" w:rsidRDefault="008A5D3A" w:rsidP="008A5D3A">
      <w:pPr>
        <w:spacing w:after="0"/>
        <w:rPr>
          <w:rFonts w:ascii="Calibri" w:hAnsi="Calibri" w:cs="Calibri"/>
        </w:rPr>
      </w:pPr>
      <w:r w:rsidRPr="00763FE8">
        <w:rPr>
          <w:rFonts w:ascii="Calibri" w:hAnsi="Calibri" w:cs="Calibri"/>
        </w:rPr>
        <w:t xml:space="preserve">V případě </w:t>
      </w:r>
      <w:r>
        <w:rPr>
          <w:rFonts w:ascii="Calibri" w:hAnsi="Calibri" w:cs="Calibri"/>
        </w:rPr>
        <w:t xml:space="preserve">nabídky </w:t>
      </w:r>
      <w:proofErr w:type="spellStart"/>
      <w:r w:rsidRPr="009D181E">
        <w:rPr>
          <w:rFonts w:ascii="Calibri" w:hAnsi="Calibri" w:cs="Calibri"/>
          <w:b/>
          <w:bCs/>
        </w:rPr>
        <w:t>přeprodávaného</w:t>
      </w:r>
      <w:proofErr w:type="spellEnd"/>
      <w:r>
        <w:rPr>
          <w:rFonts w:ascii="Calibri" w:hAnsi="Calibri" w:cs="Calibri"/>
        </w:rPr>
        <w:t xml:space="preserve"> produktu (tzv. „druhotné licence“)</w:t>
      </w:r>
      <w:r w:rsidRPr="00763FE8">
        <w:rPr>
          <w:rFonts w:ascii="Calibri" w:hAnsi="Calibri" w:cs="Calibri"/>
        </w:rPr>
        <w:t xml:space="preserve"> musí </w:t>
      </w:r>
      <w:r>
        <w:rPr>
          <w:rFonts w:ascii="Calibri" w:hAnsi="Calibri" w:cs="Calibri"/>
        </w:rPr>
        <w:t xml:space="preserve">produkt </w:t>
      </w:r>
      <w:r w:rsidRPr="00763FE8">
        <w:rPr>
          <w:rFonts w:ascii="Calibri" w:hAnsi="Calibri" w:cs="Calibri"/>
        </w:rPr>
        <w:t>splňovat požadavky Microsoftu dle vyjádření</w:t>
      </w:r>
      <w:r>
        <w:rPr>
          <w:rFonts w:ascii="Calibri" w:hAnsi="Calibri" w:cs="Calibri"/>
        </w:rPr>
        <w:t xml:space="preserve"> níže a musí být bezpodmínečně doloženy tyto dokumenty – tzv. transferová dokumentace</w:t>
      </w:r>
      <w:r w:rsidRPr="00763FE8">
        <w:rPr>
          <w:rFonts w:ascii="Calibri" w:hAnsi="Calibri" w:cs="Calibri"/>
        </w:rPr>
        <w:t>:</w:t>
      </w:r>
    </w:p>
    <w:p w14:paraId="76F4A83C" w14:textId="77777777" w:rsidR="00DA0956" w:rsidRPr="00DA0956" w:rsidRDefault="00DA0956" w:rsidP="00DA0956">
      <w:pPr>
        <w:spacing w:after="0"/>
        <w:rPr>
          <w:rFonts w:ascii="Calibri" w:hAnsi="Calibri" w:cs="Calibri"/>
        </w:rPr>
      </w:pPr>
    </w:p>
    <w:p w14:paraId="22E70148" w14:textId="77777777" w:rsidR="00DA0956" w:rsidRDefault="00495E2E" w:rsidP="00495E2E">
      <w:pPr>
        <w:pStyle w:val="Odstavecseseznamem"/>
        <w:numPr>
          <w:ilvl w:val="0"/>
          <w:numId w:val="2"/>
        </w:numPr>
        <w:spacing w:after="0"/>
        <w:rPr>
          <w:rFonts w:ascii="Calibri" w:hAnsi="Calibri" w:cs="Calibri"/>
        </w:rPr>
      </w:pPr>
      <w:r w:rsidRPr="00495E2E">
        <w:rPr>
          <w:rFonts w:ascii="Calibri" w:hAnsi="Calibri" w:cs="Calibri"/>
        </w:rPr>
        <w:t>Prohlášení původního nabyvatele</w:t>
      </w:r>
      <w:r>
        <w:rPr>
          <w:rFonts w:ascii="Calibri" w:hAnsi="Calibri" w:cs="Calibri"/>
        </w:rPr>
        <w:t xml:space="preserve"> licence</w:t>
      </w:r>
    </w:p>
    <w:p w14:paraId="1328E7D3" w14:textId="77777777" w:rsidR="00495E2E" w:rsidRDefault="00AC51E6" w:rsidP="00DA0956">
      <w:pPr>
        <w:pStyle w:val="Odstavecseseznamem"/>
        <w:numPr>
          <w:ilvl w:val="1"/>
          <w:numId w:val="2"/>
        </w:numPr>
        <w:spacing w:after="0"/>
        <w:rPr>
          <w:rFonts w:ascii="Calibri" w:hAnsi="Calibri" w:cs="Calibri"/>
        </w:rPr>
      </w:pPr>
      <w:r>
        <w:rPr>
          <w:rFonts w:ascii="Calibri" w:hAnsi="Calibri" w:cs="Calibri"/>
        </w:rPr>
        <w:t xml:space="preserve">původ zakoupené licence na neomezenou dobu (nikoliv pronajaté) </w:t>
      </w:r>
      <w:r w:rsidR="005426D3">
        <w:rPr>
          <w:rFonts w:ascii="Calibri" w:hAnsi="Calibri" w:cs="Calibri"/>
        </w:rPr>
        <w:t>prohlášení o neužívání a v budoucnu tyto licence instalovat nebude</w:t>
      </w:r>
    </w:p>
    <w:p w14:paraId="235233C4" w14:textId="77777777" w:rsidR="00DA0956" w:rsidRDefault="00DA0956" w:rsidP="00DA0956">
      <w:pPr>
        <w:pStyle w:val="Odstavecseseznamem"/>
        <w:numPr>
          <w:ilvl w:val="1"/>
          <w:numId w:val="2"/>
        </w:numPr>
        <w:spacing w:after="0"/>
        <w:rPr>
          <w:rFonts w:ascii="Calibri" w:hAnsi="Calibri" w:cs="Calibri"/>
        </w:rPr>
      </w:pPr>
      <w:r>
        <w:rPr>
          <w:rFonts w:ascii="Calibri" w:hAnsi="Calibri" w:cs="Calibri"/>
        </w:rPr>
        <w:t>veškeré identifikační nacionály původního nabyvatele</w:t>
      </w:r>
    </w:p>
    <w:p w14:paraId="23989CD4" w14:textId="77777777" w:rsidR="00DA0956" w:rsidRDefault="00DA0956" w:rsidP="00DA0956">
      <w:pPr>
        <w:pStyle w:val="Odstavecseseznamem"/>
        <w:numPr>
          <w:ilvl w:val="1"/>
          <w:numId w:val="2"/>
        </w:numPr>
        <w:spacing w:after="0"/>
        <w:rPr>
          <w:rFonts w:ascii="Calibri" w:hAnsi="Calibri" w:cs="Calibri"/>
        </w:rPr>
      </w:pPr>
      <w:r>
        <w:rPr>
          <w:rFonts w:ascii="Calibri" w:hAnsi="Calibri" w:cs="Calibri"/>
        </w:rPr>
        <w:t xml:space="preserve">označení produktu, počet licencí, popis licencí dle výrobce, země původního prodeje, verze a </w:t>
      </w:r>
      <w:r w:rsidR="00A208E1">
        <w:rPr>
          <w:rFonts w:ascii="Calibri" w:hAnsi="Calibri" w:cs="Calibri"/>
        </w:rPr>
        <w:t>metrika</w:t>
      </w:r>
      <w:r>
        <w:rPr>
          <w:rFonts w:ascii="Calibri" w:hAnsi="Calibri" w:cs="Calibri"/>
        </w:rPr>
        <w:t xml:space="preserve"> licencování</w:t>
      </w:r>
      <w:r w:rsidR="00A208E1">
        <w:rPr>
          <w:rFonts w:ascii="Calibri" w:hAnsi="Calibri" w:cs="Calibri"/>
        </w:rPr>
        <w:t xml:space="preserve"> (per User/ per </w:t>
      </w:r>
      <w:proofErr w:type="spellStart"/>
      <w:r w:rsidR="00A208E1">
        <w:rPr>
          <w:rFonts w:ascii="Calibri" w:hAnsi="Calibri" w:cs="Calibri"/>
        </w:rPr>
        <w:t>Device</w:t>
      </w:r>
      <w:proofErr w:type="spellEnd"/>
      <w:r w:rsidR="00A208E1">
        <w:rPr>
          <w:rFonts w:ascii="Calibri" w:hAnsi="Calibri" w:cs="Calibri"/>
        </w:rPr>
        <w:t xml:space="preserve"> / per </w:t>
      </w:r>
      <w:proofErr w:type="spellStart"/>
      <w:r w:rsidR="00A208E1">
        <w:rPr>
          <w:rFonts w:ascii="Calibri" w:hAnsi="Calibri" w:cs="Calibri"/>
        </w:rPr>
        <w:t>Core</w:t>
      </w:r>
      <w:proofErr w:type="spellEnd"/>
      <w:r w:rsidR="00A208E1">
        <w:rPr>
          <w:rFonts w:ascii="Calibri" w:hAnsi="Calibri" w:cs="Calibri"/>
        </w:rPr>
        <w:t>, apod.)</w:t>
      </w:r>
    </w:p>
    <w:p w14:paraId="30C53474" w14:textId="77777777" w:rsidR="00DA0956" w:rsidRPr="009D181E" w:rsidRDefault="00DA0956" w:rsidP="009D181E">
      <w:pPr>
        <w:pStyle w:val="Odstavecseseznamem"/>
        <w:numPr>
          <w:ilvl w:val="1"/>
          <w:numId w:val="2"/>
        </w:numPr>
        <w:spacing w:after="0"/>
        <w:rPr>
          <w:rFonts w:ascii="Calibri" w:hAnsi="Calibri" w:cs="Calibri"/>
        </w:rPr>
      </w:pPr>
      <w:r>
        <w:rPr>
          <w:rFonts w:ascii="Calibri" w:hAnsi="Calibri" w:cs="Calibri"/>
        </w:rPr>
        <w:t xml:space="preserve">u multilicenčních programů uvést </w:t>
      </w:r>
      <w:r w:rsidRPr="00DA0956">
        <w:rPr>
          <w:rFonts w:ascii="Calibri" w:hAnsi="Calibri" w:cs="Calibri"/>
        </w:rPr>
        <w:t xml:space="preserve">Microsoft </w:t>
      </w:r>
      <w:proofErr w:type="spellStart"/>
      <w:r w:rsidRPr="00DA0956">
        <w:rPr>
          <w:rFonts w:ascii="Calibri" w:hAnsi="Calibri" w:cs="Calibri"/>
        </w:rPr>
        <w:t>Agreement</w:t>
      </w:r>
      <w:proofErr w:type="spellEnd"/>
      <w:r w:rsidRPr="00DA0956">
        <w:rPr>
          <w:rFonts w:ascii="Calibri" w:hAnsi="Calibri" w:cs="Calibri"/>
        </w:rPr>
        <w:t xml:space="preserve"> </w:t>
      </w:r>
      <w:proofErr w:type="spellStart"/>
      <w:r w:rsidRPr="00DA0956">
        <w:rPr>
          <w:rFonts w:ascii="Calibri" w:hAnsi="Calibri" w:cs="Calibri"/>
        </w:rPr>
        <w:t>Number</w:t>
      </w:r>
      <w:proofErr w:type="spellEnd"/>
      <w:r w:rsidRPr="00DA0956">
        <w:rPr>
          <w:rFonts w:ascii="Calibri" w:hAnsi="Calibri" w:cs="Calibri"/>
        </w:rPr>
        <w:t xml:space="preserve">, Master </w:t>
      </w:r>
      <w:proofErr w:type="spellStart"/>
      <w:r w:rsidRPr="00DA0956">
        <w:rPr>
          <w:rFonts w:ascii="Calibri" w:hAnsi="Calibri" w:cs="Calibri"/>
        </w:rPr>
        <w:t>Agreement</w:t>
      </w:r>
      <w:proofErr w:type="spellEnd"/>
      <w:r w:rsidRPr="00DA0956">
        <w:rPr>
          <w:rFonts w:ascii="Calibri" w:hAnsi="Calibri" w:cs="Calibri"/>
        </w:rPr>
        <w:t xml:space="preserve"> </w:t>
      </w:r>
      <w:proofErr w:type="spellStart"/>
      <w:r w:rsidRPr="00DA0956">
        <w:rPr>
          <w:rFonts w:ascii="Calibri" w:hAnsi="Calibri" w:cs="Calibri"/>
        </w:rPr>
        <w:t>Number</w:t>
      </w:r>
      <w:proofErr w:type="spellEnd"/>
      <w:r w:rsidRPr="00DA0956">
        <w:rPr>
          <w:rFonts w:ascii="Calibri" w:hAnsi="Calibri" w:cs="Calibri"/>
        </w:rPr>
        <w:t xml:space="preserve"> a Business </w:t>
      </w:r>
      <w:proofErr w:type="spellStart"/>
      <w:r w:rsidRPr="00DA0956">
        <w:rPr>
          <w:rFonts w:ascii="Calibri" w:hAnsi="Calibri" w:cs="Calibri"/>
        </w:rPr>
        <w:t>Agreement</w:t>
      </w:r>
      <w:proofErr w:type="spellEnd"/>
      <w:r w:rsidRPr="00DA0956">
        <w:rPr>
          <w:rFonts w:ascii="Calibri" w:hAnsi="Calibri" w:cs="Calibri"/>
        </w:rPr>
        <w:t xml:space="preserve"> </w:t>
      </w:r>
      <w:proofErr w:type="spellStart"/>
      <w:r w:rsidRPr="00DA0956">
        <w:rPr>
          <w:rFonts w:ascii="Calibri" w:hAnsi="Calibri" w:cs="Calibri"/>
        </w:rPr>
        <w:t>Number</w:t>
      </w:r>
      <w:proofErr w:type="spellEnd"/>
      <w:r w:rsidRPr="00DA0956">
        <w:rPr>
          <w:rFonts w:ascii="Calibri" w:hAnsi="Calibri" w:cs="Calibri"/>
        </w:rPr>
        <w:t xml:space="preserve"> </w:t>
      </w:r>
      <w:r>
        <w:rPr>
          <w:rFonts w:ascii="Calibri" w:hAnsi="Calibri" w:cs="Calibri"/>
        </w:rPr>
        <w:t>(jsou-li k dispozici)</w:t>
      </w:r>
    </w:p>
    <w:p w14:paraId="187A0BE7" w14:textId="77777777" w:rsidR="00DA0956" w:rsidRPr="00DA0956" w:rsidRDefault="00DA0956" w:rsidP="00DA0956">
      <w:pPr>
        <w:spacing w:after="0"/>
        <w:rPr>
          <w:rFonts w:ascii="Calibri" w:hAnsi="Calibri" w:cs="Calibri"/>
        </w:rPr>
      </w:pPr>
    </w:p>
    <w:p w14:paraId="1D275484" w14:textId="77777777" w:rsidR="00F37F3D" w:rsidRDefault="00495E2E" w:rsidP="00F37F3D">
      <w:pPr>
        <w:pStyle w:val="Odstavecseseznamem"/>
        <w:numPr>
          <w:ilvl w:val="0"/>
          <w:numId w:val="2"/>
        </w:numPr>
        <w:spacing w:after="0"/>
        <w:rPr>
          <w:rFonts w:ascii="Calibri" w:hAnsi="Calibri" w:cs="Calibri"/>
        </w:rPr>
      </w:pPr>
      <w:r w:rsidRPr="00F37F3D">
        <w:rPr>
          <w:rFonts w:ascii="Calibri" w:hAnsi="Calibri" w:cs="Calibri"/>
        </w:rPr>
        <w:t>Prohlášení o převoditelnosti</w:t>
      </w:r>
      <w:r w:rsidR="00AC51E6" w:rsidRPr="00F37F3D">
        <w:rPr>
          <w:rFonts w:ascii="Calibri" w:hAnsi="Calibri" w:cs="Calibri"/>
        </w:rPr>
        <w:t xml:space="preserve"> </w:t>
      </w:r>
      <w:r w:rsidR="00F37F3D">
        <w:rPr>
          <w:rFonts w:ascii="Calibri" w:hAnsi="Calibri" w:cs="Calibri"/>
        </w:rPr>
        <w:t xml:space="preserve">- </w:t>
      </w:r>
      <w:r w:rsidR="00AC51E6" w:rsidRPr="00F37F3D">
        <w:rPr>
          <w:rFonts w:ascii="Calibri" w:hAnsi="Calibri" w:cs="Calibri"/>
        </w:rPr>
        <w:t xml:space="preserve">Prohlášení prodávajícího (uchazeče) o produktu, že </w:t>
      </w:r>
      <w:r w:rsidR="00F37F3D">
        <w:rPr>
          <w:rFonts w:ascii="Calibri" w:hAnsi="Calibri" w:cs="Calibri"/>
        </w:rPr>
        <w:t>:</w:t>
      </w:r>
    </w:p>
    <w:p w14:paraId="08E21D41" w14:textId="77777777" w:rsidR="00F37F3D" w:rsidRDefault="005616B2" w:rsidP="00F37F3D">
      <w:pPr>
        <w:pStyle w:val="Odstavecseseznamem"/>
        <w:numPr>
          <w:ilvl w:val="1"/>
          <w:numId w:val="2"/>
        </w:numPr>
        <w:spacing w:after="0"/>
        <w:rPr>
          <w:rFonts w:ascii="Calibri" w:hAnsi="Calibri" w:cs="Calibri"/>
        </w:rPr>
      </w:pPr>
      <w:r>
        <w:rPr>
          <w:rFonts w:ascii="Calibri" w:hAnsi="Calibri" w:cs="Calibri"/>
        </w:rPr>
        <w:t xml:space="preserve">byl </w:t>
      </w:r>
      <w:r w:rsidR="00AC51E6" w:rsidRPr="00F37F3D">
        <w:rPr>
          <w:rFonts w:ascii="Calibri" w:hAnsi="Calibri" w:cs="Calibri"/>
        </w:rPr>
        <w:t>původně uveden na trh prodejem v rámci EHP majitelem autorských práv nebo s jeho souhlasem</w:t>
      </w:r>
    </w:p>
    <w:p w14:paraId="6588FD29" w14:textId="77777777" w:rsidR="00F37F3D" w:rsidRDefault="005616B2" w:rsidP="00F37F3D">
      <w:pPr>
        <w:pStyle w:val="Odstavecseseznamem"/>
        <w:numPr>
          <w:ilvl w:val="1"/>
          <w:numId w:val="2"/>
        </w:numPr>
        <w:spacing w:after="0"/>
        <w:rPr>
          <w:rFonts w:ascii="Calibri" w:hAnsi="Calibri" w:cs="Calibri"/>
        </w:rPr>
      </w:pPr>
      <w:r>
        <w:rPr>
          <w:rFonts w:ascii="Calibri" w:hAnsi="Calibri" w:cs="Calibri"/>
        </w:rPr>
        <w:t xml:space="preserve">byl </w:t>
      </w:r>
      <w:r w:rsidR="00AC51E6" w:rsidRPr="00F37F3D">
        <w:rPr>
          <w:rFonts w:ascii="Calibri" w:hAnsi="Calibri" w:cs="Calibri"/>
        </w:rPr>
        <w:t>poskytnut oproti úhradě poplatku, který zajišťuje majiteli práv získání odměny odpovídající ekonomické hodnotě kopie jeho díla</w:t>
      </w:r>
    </w:p>
    <w:p w14:paraId="5364F0B9" w14:textId="77777777" w:rsidR="005616B2" w:rsidRDefault="005616B2" w:rsidP="00F37F3D">
      <w:pPr>
        <w:pStyle w:val="Odstavecseseznamem"/>
        <w:numPr>
          <w:ilvl w:val="1"/>
          <w:numId w:val="2"/>
        </w:numPr>
        <w:spacing w:after="0"/>
        <w:rPr>
          <w:rFonts w:ascii="Calibri" w:hAnsi="Calibri" w:cs="Calibri"/>
        </w:rPr>
      </w:pPr>
      <w:r>
        <w:rPr>
          <w:rFonts w:ascii="Calibri" w:hAnsi="Calibri" w:cs="Calibri"/>
        </w:rPr>
        <w:t>l</w:t>
      </w:r>
      <w:r w:rsidRPr="005616B2">
        <w:rPr>
          <w:rFonts w:ascii="Calibri" w:hAnsi="Calibri" w:cs="Calibri"/>
        </w:rPr>
        <w:t>icence byly jak původním, tak novým nabyvatelem úplně zakoupeny, nikoliv pronajímány (ani částečně)</w:t>
      </w:r>
    </w:p>
    <w:p w14:paraId="6273D973" w14:textId="77777777" w:rsidR="00AC51E6" w:rsidRDefault="005616B2" w:rsidP="00F37F3D">
      <w:pPr>
        <w:pStyle w:val="Odstavecseseznamem"/>
        <w:numPr>
          <w:ilvl w:val="1"/>
          <w:numId w:val="2"/>
        </w:numPr>
        <w:spacing w:after="0"/>
        <w:rPr>
          <w:rFonts w:ascii="Calibri" w:hAnsi="Calibri" w:cs="Calibri"/>
        </w:rPr>
      </w:pPr>
      <w:r>
        <w:rPr>
          <w:rFonts w:ascii="Calibri" w:hAnsi="Calibri" w:cs="Calibri"/>
        </w:rPr>
        <w:t>p</w:t>
      </w:r>
      <w:r w:rsidR="00AC51E6" w:rsidRPr="00F37F3D">
        <w:rPr>
          <w:rFonts w:ascii="Calibri" w:hAnsi="Calibri" w:cs="Calibri"/>
        </w:rPr>
        <w:t>ůvodní nabyvatel v okamžiku prodeje učini</w:t>
      </w:r>
      <w:r w:rsidR="00F37F3D">
        <w:rPr>
          <w:rFonts w:ascii="Calibri" w:hAnsi="Calibri" w:cs="Calibri"/>
        </w:rPr>
        <w:t>l</w:t>
      </w:r>
      <w:r w:rsidR="00AC51E6" w:rsidRPr="00F37F3D">
        <w:rPr>
          <w:rFonts w:ascii="Calibri" w:hAnsi="Calibri" w:cs="Calibri"/>
        </w:rPr>
        <w:t xml:space="preserve"> svou kopii „nepoužitelnou“.</w:t>
      </w:r>
    </w:p>
    <w:p w14:paraId="1169EE5E" w14:textId="77777777" w:rsidR="005616B2" w:rsidRDefault="005616B2" w:rsidP="00F37F3D">
      <w:pPr>
        <w:pStyle w:val="Odstavecseseznamem"/>
        <w:numPr>
          <w:ilvl w:val="1"/>
          <w:numId w:val="2"/>
        </w:numPr>
        <w:spacing w:after="0"/>
        <w:rPr>
          <w:rFonts w:ascii="Calibri" w:hAnsi="Calibri" w:cs="Calibri"/>
        </w:rPr>
      </w:pPr>
      <w:r>
        <w:rPr>
          <w:rFonts w:ascii="Calibri" w:hAnsi="Calibri" w:cs="Calibri"/>
        </w:rPr>
        <w:t xml:space="preserve">uchazeč </w:t>
      </w:r>
      <w:r w:rsidRPr="005616B2">
        <w:rPr>
          <w:rFonts w:ascii="Calibri" w:hAnsi="Calibri" w:cs="Calibri"/>
        </w:rPr>
        <w:t>právo k užití softwaru, specifikovaného v transferové dokumentaci, nabyl za účelem prodeje, a že tento software nikdy nenainstaloval ani jej jinak neužíval</w:t>
      </w:r>
    </w:p>
    <w:p w14:paraId="27EA3A9B" w14:textId="77777777" w:rsidR="005616B2" w:rsidRPr="005616B2" w:rsidRDefault="00577E18" w:rsidP="005616B2">
      <w:pPr>
        <w:pStyle w:val="Odstavecseseznamem"/>
        <w:numPr>
          <w:ilvl w:val="1"/>
          <w:numId w:val="2"/>
        </w:numPr>
        <w:spacing w:after="0"/>
        <w:rPr>
          <w:rFonts w:ascii="Calibri" w:hAnsi="Calibri" w:cs="Calibri"/>
        </w:rPr>
      </w:pPr>
      <w:r>
        <w:rPr>
          <w:rFonts w:ascii="Calibri" w:hAnsi="Calibri" w:cs="Calibri"/>
        </w:rPr>
        <w:t xml:space="preserve">je </w:t>
      </w:r>
      <w:r w:rsidR="005616B2">
        <w:rPr>
          <w:rFonts w:ascii="Calibri" w:hAnsi="Calibri" w:cs="Calibri"/>
        </w:rPr>
        <w:t>uchazeč oprávněn právo k užití převést na třetí osobu, a že na tomto právu neváznou práva třetích osob a zejména toto právo ani částečně nepřevedl na třetí osobu</w:t>
      </w:r>
    </w:p>
    <w:p w14:paraId="5FD71776" w14:textId="77777777" w:rsidR="00495E2E" w:rsidRPr="00F37F3D" w:rsidRDefault="00495E2E" w:rsidP="00F37F3D">
      <w:pPr>
        <w:spacing w:after="0"/>
        <w:rPr>
          <w:rFonts w:ascii="Calibri" w:hAnsi="Calibri" w:cs="Calibri"/>
        </w:rPr>
      </w:pPr>
    </w:p>
    <w:p w14:paraId="59ABEAD3" w14:textId="77777777" w:rsidR="00DA0956" w:rsidRDefault="005426D3" w:rsidP="00495E2E">
      <w:pPr>
        <w:pStyle w:val="Odstavecseseznamem"/>
        <w:numPr>
          <w:ilvl w:val="0"/>
          <w:numId w:val="2"/>
        </w:numPr>
        <w:spacing w:after="0"/>
        <w:rPr>
          <w:rFonts w:ascii="Calibri" w:hAnsi="Calibri" w:cs="Calibri"/>
        </w:rPr>
      </w:pPr>
      <w:r w:rsidRPr="005426D3">
        <w:rPr>
          <w:rFonts w:ascii="Calibri" w:hAnsi="Calibri" w:cs="Calibri"/>
        </w:rPr>
        <w:t>Potvrzení o převodu</w:t>
      </w:r>
    </w:p>
    <w:p w14:paraId="335C7C24" w14:textId="77777777" w:rsidR="005426D3" w:rsidRDefault="005426D3" w:rsidP="00DA0956">
      <w:pPr>
        <w:pStyle w:val="Odstavecseseznamem"/>
        <w:numPr>
          <w:ilvl w:val="1"/>
          <w:numId w:val="2"/>
        </w:numPr>
        <w:spacing w:after="0"/>
        <w:rPr>
          <w:rFonts w:ascii="Calibri" w:hAnsi="Calibri" w:cs="Calibri"/>
        </w:rPr>
      </w:pPr>
      <w:r>
        <w:rPr>
          <w:rFonts w:ascii="Calibri" w:hAnsi="Calibri" w:cs="Calibri"/>
        </w:rPr>
        <w:t xml:space="preserve">dokument o převodu práv k produktu od </w:t>
      </w:r>
      <w:r w:rsidR="00DA0956">
        <w:rPr>
          <w:rFonts w:ascii="Calibri" w:hAnsi="Calibri" w:cs="Calibri"/>
        </w:rPr>
        <w:t xml:space="preserve">prodávajícího (uchazeče) </w:t>
      </w:r>
      <w:r>
        <w:rPr>
          <w:rFonts w:ascii="Calibri" w:hAnsi="Calibri" w:cs="Calibri"/>
        </w:rPr>
        <w:t>na</w:t>
      </w:r>
      <w:r w:rsidR="00DA0956">
        <w:rPr>
          <w:rFonts w:ascii="Calibri" w:hAnsi="Calibri" w:cs="Calibri"/>
        </w:rPr>
        <w:t> </w:t>
      </w:r>
      <w:r>
        <w:rPr>
          <w:rFonts w:ascii="Calibri" w:hAnsi="Calibri" w:cs="Calibri"/>
        </w:rPr>
        <w:t>nového nabyvatele (v tomto případě Město Znojmo)</w:t>
      </w:r>
      <w:r w:rsidR="005616B2">
        <w:rPr>
          <w:rFonts w:ascii="Calibri" w:hAnsi="Calibri" w:cs="Calibri"/>
        </w:rPr>
        <w:t xml:space="preserve"> </w:t>
      </w:r>
    </w:p>
    <w:p w14:paraId="7E134299" w14:textId="77777777" w:rsidR="005616B2" w:rsidRPr="005616B2" w:rsidRDefault="005616B2" w:rsidP="005616B2">
      <w:pPr>
        <w:spacing w:after="0"/>
        <w:ind w:left="360"/>
        <w:rPr>
          <w:rFonts w:ascii="Calibri" w:hAnsi="Calibri" w:cs="Calibri"/>
        </w:rPr>
      </w:pPr>
    </w:p>
    <w:p w14:paraId="43EED966" w14:textId="77777777" w:rsidR="009D181E" w:rsidRPr="009D181E" w:rsidRDefault="009D181E" w:rsidP="009D181E">
      <w:pPr>
        <w:autoSpaceDE w:val="0"/>
        <w:autoSpaceDN w:val="0"/>
        <w:adjustRightInd w:val="0"/>
        <w:rPr>
          <w:rFonts w:asciiTheme="minorHAnsi" w:hAnsiTheme="minorHAnsi" w:cstheme="minorHAnsi"/>
          <w:sz w:val="24"/>
          <w:szCs w:val="24"/>
        </w:rPr>
      </w:pPr>
      <w:r w:rsidRPr="009D181E">
        <w:rPr>
          <w:rFonts w:asciiTheme="minorHAnsi" w:hAnsiTheme="minorHAnsi" w:cstheme="minorHAnsi"/>
          <w:sz w:val="24"/>
          <w:szCs w:val="24"/>
        </w:rPr>
        <w:t xml:space="preserve">Dostupný překlad dokumentu Microsoft </w:t>
      </w:r>
      <w:proofErr w:type="spellStart"/>
      <w:r w:rsidRPr="009D181E">
        <w:rPr>
          <w:rFonts w:asciiTheme="minorHAnsi" w:hAnsiTheme="minorHAnsi" w:cstheme="minorHAnsi"/>
          <w:sz w:val="24"/>
          <w:szCs w:val="24"/>
        </w:rPr>
        <w:t>Reactive</w:t>
      </w:r>
      <w:proofErr w:type="spellEnd"/>
      <w:r w:rsidRPr="009D181E">
        <w:rPr>
          <w:rFonts w:asciiTheme="minorHAnsi" w:hAnsiTheme="minorHAnsi" w:cstheme="minorHAnsi"/>
          <w:sz w:val="24"/>
          <w:szCs w:val="24"/>
        </w:rPr>
        <w:t xml:space="preserve"> </w:t>
      </w:r>
      <w:proofErr w:type="spellStart"/>
      <w:r w:rsidRPr="009D181E">
        <w:rPr>
          <w:rFonts w:asciiTheme="minorHAnsi" w:hAnsiTheme="minorHAnsi" w:cstheme="minorHAnsi"/>
          <w:sz w:val="24"/>
          <w:szCs w:val="24"/>
        </w:rPr>
        <w:t>Letter</w:t>
      </w:r>
      <w:proofErr w:type="spellEnd"/>
    </w:p>
    <w:p w14:paraId="3D16F499" w14:textId="77777777" w:rsidR="009D181E" w:rsidRPr="00577E18" w:rsidRDefault="009D181E" w:rsidP="009D181E">
      <w:pPr>
        <w:autoSpaceDE w:val="0"/>
        <w:autoSpaceDN w:val="0"/>
        <w:adjustRightInd w:val="0"/>
        <w:rPr>
          <w:rFonts w:asciiTheme="minorHAnsi" w:hAnsiTheme="minorHAnsi" w:cstheme="minorHAnsi"/>
          <w:sz w:val="18"/>
          <w:szCs w:val="18"/>
        </w:rPr>
      </w:pPr>
      <w:r w:rsidRPr="009D181E">
        <w:rPr>
          <w:rFonts w:asciiTheme="minorHAnsi" w:hAnsiTheme="minorHAnsi" w:cstheme="minorHAnsi"/>
          <w:sz w:val="20"/>
          <w:szCs w:val="20"/>
        </w:rPr>
        <w:t xml:space="preserve">Tento překlad dokumentu Microsoft SHS </w:t>
      </w:r>
      <w:proofErr w:type="spellStart"/>
      <w:r w:rsidRPr="009D181E">
        <w:rPr>
          <w:rFonts w:asciiTheme="minorHAnsi" w:hAnsiTheme="minorHAnsi" w:cstheme="minorHAnsi"/>
          <w:sz w:val="20"/>
          <w:szCs w:val="20"/>
        </w:rPr>
        <w:t>Reactive</w:t>
      </w:r>
      <w:proofErr w:type="spellEnd"/>
      <w:r w:rsidRPr="009D181E">
        <w:rPr>
          <w:rFonts w:asciiTheme="minorHAnsi" w:hAnsiTheme="minorHAnsi" w:cstheme="minorHAnsi"/>
          <w:sz w:val="20"/>
          <w:szCs w:val="20"/>
        </w:rPr>
        <w:t xml:space="preserve"> </w:t>
      </w:r>
      <w:proofErr w:type="spellStart"/>
      <w:r w:rsidRPr="009D181E">
        <w:rPr>
          <w:rFonts w:asciiTheme="minorHAnsi" w:hAnsiTheme="minorHAnsi" w:cstheme="minorHAnsi"/>
          <w:sz w:val="20"/>
          <w:szCs w:val="20"/>
        </w:rPr>
        <w:t>Letter</w:t>
      </w:r>
      <w:proofErr w:type="spellEnd"/>
      <w:r w:rsidRPr="009D181E">
        <w:rPr>
          <w:rFonts w:asciiTheme="minorHAnsi" w:hAnsiTheme="minorHAnsi" w:cstheme="minorHAnsi"/>
          <w:sz w:val="20"/>
          <w:szCs w:val="20"/>
        </w:rPr>
        <w:t xml:space="preserve"> to EU </w:t>
      </w:r>
      <w:proofErr w:type="spellStart"/>
      <w:r w:rsidRPr="009D181E">
        <w:rPr>
          <w:rFonts w:asciiTheme="minorHAnsi" w:hAnsiTheme="minorHAnsi" w:cstheme="minorHAnsi"/>
          <w:sz w:val="20"/>
          <w:szCs w:val="20"/>
        </w:rPr>
        <w:t>Customers</w:t>
      </w:r>
      <w:proofErr w:type="spellEnd"/>
      <w:r w:rsidRPr="009D181E">
        <w:rPr>
          <w:rFonts w:asciiTheme="minorHAnsi" w:hAnsiTheme="minorHAnsi" w:cstheme="minorHAnsi"/>
          <w:sz w:val="20"/>
          <w:szCs w:val="20"/>
        </w:rPr>
        <w:t xml:space="preserve"> – </w:t>
      </w:r>
      <w:proofErr w:type="spellStart"/>
      <w:r w:rsidRPr="009D181E">
        <w:rPr>
          <w:rFonts w:asciiTheme="minorHAnsi" w:hAnsiTheme="minorHAnsi" w:cstheme="minorHAnsi"/>
          <w:sz w:val="20"/>
          <w:szCs w:val="20"/>
        </w:rPr>
        <w:t>Partners</w:t>
      </w:r>
      <w:proofErr w:type="spellEnd"/>
      <w:r w:rsidRPr="009D181E">
        <w:rPr>
          <w:rFonts w:asciiTheme="minorHAnsi" w:hAnsiTheme="minorHAnsi" w:cstheme="minorHAnsi"/>
          <w:sz w:val="20"/>
          <w:szCs w:val="20"/>
        </w:rPr>
        <w:t xml:space="preserve"> je pouze orientační a není žádným způsobem autorizován. Pokud by se obsah lišil od originálu, vždy platí originální znění.</w:t>
      </w:r>
      <w:r>
        <w:rPr>
          <w:rFonts w:asciiTheme="minorHAnsi" w:hAnsiTheme="minorHAnsi" w:cstheme="minorHAnsi"/>
          <w:sz w:val="20"/>
          <w:szCs w:val="20"/>
        </w:rPr>
        <w:t xml:space="preserve"> </w:t>
      </w:r>
      <w:proofErr w:type="spellStart"/>
      <w:r>
        <w:rPr>
          <w:rFonts w:asciiTheme="minorHAnsi" w:hAnsiTheme="minorHAnsi" w:cstheme="minorHAnsi"/>
          <w:sz w:val="20"/>
          <w:szCs w:val="20"/>
        </w:rPr>
        <w:t>Originílní</w:t>
      </w:r>
      <w:proofErr w:type="spellEnd"/>
      <w:r>
        <w:rPr>
          <w:rFonts w:asciiTheme="minorHAnsi" w:hAnsiTheme="minorHAnsi" w:cstheme="minorHAnsi"/>
          <w:sz w:val="20"/>
          <w:szCs w:val="20"/>
        </w:rPr>
        <w:t xml:space="preserve"> znění je dostupné </w:t>
      </w:r>
      <w:r w:rsidR="00577E18">
        <w:rPr>
          <w:rFonts w:asciiTheme="minorHAnsi" w:hAnsiTheme="minorHAnsi" w:cstheme="minorHAnsi"/>
          <w:sz w:val="20"/>
          <w:szCs w:val="20"/>
        </w:rPr>
        <w:t>(</w:t>
      </w:r>
      <w:r>
        <w:rPr>
          <w:rFonts w:asciiTheme="minorHAnsi" w:hAnsiTheme="minorHAnsi" w:cstheme="minorHAnsi"/>
          <w:sz w:val="20"/>
          <w:szCs w:val="20"/>
        </w:rPr>
        <w:t xml:space="preserve">v době vyhlášení </w:t>
      </w:r>
      <w:r w:rsidR="00577E18">
        <w:rPr>
          <w:rFonts w:asciiTheme="minorHAnsi" w:hAnsiTheme="minorHAnsi" w:cstheme="minorHAnsi"/>
          <w:sz w:val="20"/>
          <w:szCs w:val="20"/>
        </w:rPr>
        <w:t xml:space="preserve">VZ) zde - </w:t>
      </w:r>
      <w:hyperlink r:id="rId8" w:history="1">
        <w:r w:rsidR="00577E18">
          <w:rPr>
            <w:rStyle w:val="Hypertextovodkaz"/>
            <w:rFonts w:asciiTheme="minorHAnsi" w:hAnsiTheme="minorHAnsi" w:cstheme="minorHAnsi"/>
            <w:sz w:val="18"/>
            <w:szCs w:val="18"/>
          </w:rPr>
          <w:t>Microsoft_Reactive_SHS_Letter_to_EU_Customers-Partners_.pdf</w:t>
        </w:r>
      </w:hyperlink>
    </w:p>
    <w:p w14:paraId="34B2638E" w14:textId="77777777" w:rsidR="00EC2645" w:rsidRPr="00763FE8" w:rsidRDefault="00EC2645" w:rsidP="009D181E">
      <w:pPr>
        <w:autoSpaceDE w:val="0"/>
        <w:autoSpaceDN w:val="0"/>
        <w:adjustRightInd w:val="0"/>
        <w:jc w:val="right"/>
        <w:rPr>
          <w:rFonts w:ascii="Calibri Light" w:hAnsi="Calibri Light" w:cs="Segoe UI"/>
          <w:i/>
          <w:sz w:val="20"/>
          <w:szCs w:val="20"/>
        </w:rPr>
      </w:pPr>
      <w:r w:rsidRPr="00763FE8">
        <w:rPr>
          <w:rFonts w:ascii="Calibri Light" w:hAnsi="Calibri Light" w:cs="Segoe UI"/>
          <w:i/>
          <w:sz w:val="20"/>
          <w:szCs w:val="20"/>
        </w:rPr>
        <w:t>Helsinky, duben 2017</w:t>
      </w:r>
    </w:p>
    <w:p w14:paraId="3AA20D7C" w14:textId="77777777" w:rsidR="00EC2645" w:rsidRPr="00763FE8" w:rsidRDefault="00EC2645" w:rsidP="00EC2645">
      <w:pPr>
        <w:autoSpaceDE w:val="0"/>
        <w:autoSpaceDN w:val="0"/>
        <w:adjustRightInd w:val="0"/>
        <w:rPr>
          <w:rFonts w:ascii="Calibri Light" w:hAnsi="Calibri Light" w:cs="Segoe UI"/>
          <w:b/>
          <w:i/>
          <w:color w:val="FF0000"/>
          <w:sz w:val="20"/>
          <w:szCs w:val="20"/>
        </w:rPr>
      </w:pPr>
      <w:r w:rsidRPr="00763FE8">
        <w:rPr>
          <w:rFonts w:ascii="Calibri Light" w:hAnsi="Calibri Light" w:cs="Segoe UI"/>
          <w:i/>
          <w:sz w:val="20"/>
          <w:szCs w:val="20"/>
        </w:rPr>
        <w:t>Vážený zákazníku,</w:t>
      </w:r>
    </w:p>
    <w:p w14:paraId="75EC3226" w14:textId="77777777" w:rsidR="00EC2645" w:rsidRPr="00763FE8" w:rsidRDefault="00EC2645" w:rsidP="00EC2645">
      <w:pPr>
        <w:autoSpaceDE w:val="0"/>
        <w:autoSpaceDN w:val="0"/>
        <w:adjustRightInd w:val="0"/>
        <w:jc w:val="both"/>
        <w:rPr>
          <w:rFonts w:ascii="Calibri Light" w:hAnsi="Calibri Light" w:cs="Segoe UI"/>
          <w:i/>
          <w:sz w:val="20"/>
          <w:szCs w:val="20"/>
        </w:rPr>
      </w:pPr>
      <w:r w:rsidRPr="00763FE8">
        <w:rPr>
          <w:rFonts w:ascii="Calibri Light" w:hAnsi="Calibri Light" w:cs="Segoe UI"/>
          <w:i/>
          <w:sz w:val="20"/>
          <w:szCs w:val="20"/>
        </w:rPr>
        <w:t xml:space="preserve">Společnost Microsoft příležitostně dostává dotazy týkající se nákupu a užívání licencí k tak zvanému softwaru z druhé ruky. Kromě toho zákazníci někdy dokládají licence na software z druhé ruky jako důkaz o poskytnutí odpovídající licence při kontrolách a auditech v rámci Software </w:t>
      </w:r>
      <w:proofErr w:type="spellStart"/>
      <w:r w:rsidRPr="00763FE8">
        <w:rPr>
          <w:rFonts w:ascii="Calibri Light" w:hAnsi="Calibri Light" w:cs="Segoe UI"/>
          <w:i/>
          <w:sz w:val="20"/>
          <w:szCs w:val="20"/>
        </w:rPr>
        <w:t>Asset</w:t>
      </w:r>
      <w:proofErr w:type="spellEnd"/>
      <w:r w:rsidRPr="00763FE8">
        <w:rPr>
          <w:rFonts w:ascii="Calibri Light" w:hAnsi="Calibri Light" w:cs="Segoe UI"/>
          <w:i/>
          <w:sz w:val="20"/>
          <w:szCs w:val="20"/>
        </w:rPr>
        <w:t xml:space="preserve"> Managementu.  Ve světle těchto dotazů bychom vám rádi poskytli ke zvážení některé informace a důležitá fakta týkající se problematiky softwaru z druhé ruky.</w:t>
      </w:r>
    </w:p>
    <w:p w14:paraId="014CCF6C"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V rámci Evropského hospodářského prostoru (EHP) může být software redistribuován bez souhlasu nositele práv v případě, že právo na šíření je „vyčerpáno“. Dle ustanovení článku 4 odst. 2 </w:t>
      </w:r>
      <w:r w:rsidRPr="00763FE8">
        <w:rPr>
          <w:rFonts w:ascii="Calibri Light" w:hAnsi="Calibri Light" w:cs="Segoe UI"/>
          <w:i/>
          <w:iCs/>
          <w:sz w:val="20"/>
          <w:szCs w:val="20"/>
          <w:lang w:val="cs-CZ"/>
        </w:rPr>
        <w:t>Směrnice Evropského parlamentu a Rady 2009/24/ES o právní ochraně počítačových programů</w:t>
      </w:r>
      <w:r w:rsidRPr="00763FE8">
        <w:rPr>
          <w:rFonts w:ascii="Calibri Light" w:hAnsi="Calibri Light" w:cs="Segoe UI"/>
          <w:i/>
          <w:sz w:val="20"/>
          <w:szCs w:val="20"/>
          <w:lang w:val="cs-CZ"/>
        </w:rPr>
        <w:t xml:space="preserve">, </w:t>
      </w:r>
      <w:r w:rsidRPr="00763FE8">
        <w:rPr>
          <w:rFonts w:ascii="Calibri Light" w:hAnsi="Calibri Light"/>
          <w:i/>
          <w:sz w:val="20"/>
          <w:szCs w:val="20"/>
          <w:lang w:val="cs-CZ"/>
        </w:rPr>
        <w:t xml:space="preserve">právo na šíření počítačového programu v rámci Společenství (EHP) je vyčerpáno </w:t>
      </w:r>
      <w:r w:rsidRPr="00763FE8">
        <w:rPr>
          <w:rFonts w:ascii="Calibri Light" w:hAnsi="Calibri Light" w:cs="Segoe UI"/>
          <w:i/>
          <w:sz w:val="20"/>
          <w:szCs w:val="20"/>
          <w:lang w:val="cs-CZ"/>
        </w:rPr>
        <w:t>p</w:t>
      </w:r>
      <w:r w:rsidRPr="00763FE8">
        <w:rPr>
          <w:rFonts w:ascii="Calibri Light" w:hAnsi="Calibri Light"/>
          <w:i/>
          <w:sz w:val="20"/>
          <w:szCs w:val="20"/>
          <w:lang w:val="cs-CZ"/>
        </w:rPr>
        <w:t>rvním prodejem počítačového programu ve Společenství nositelem práv nebo s jeho svolením.</w:t>
      </w:r>
      <w:r w:rsidRPr="00763FE8">
        <w:rPr>
          <w:rFonts w:ascii="Calibri Light" w:hAnsi="Calibri Light" w:cs="Segoe UI"/>
          <w:i/>
          <w:sz w:val="20"/>
          <w:szCs w:val="20"/>
          <w:lang w:val="cs-CZ"/>
        </w:rPr>
        <w:t xml:space="preserve">  </w:t>
      </w:r>
    </w:p>
    <w:p w14:paraId="7ABE2032"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6AE626AF"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Soudní dvůr Evropské unie (SDEU) ve věci </w:t>
      </w:r>
      <w:proofErr w:type="spellStart"/>
      <w:r w:rsidRPr="00763FE8">
        <w:rPr>
          <w:rFonts w:ascii="Calibri Light" w:hAnsi="Calibri Light" w:cs="Segoe UI"/>
          <w:i/>
          <w:iCs/>
          <w:sz w:val="20"/>
          <w:szCs w:val="20"/>
          <w:lang w:val="cs-CZ"/>
        </w:rPr>
        <w:t>UsedSoft</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GmbH</w:t>
      </w:r>
      <w:proofErr w:type="spellEnd"/>
      <w:r w:rsidRPr="00763FE8">
        <w:rPr>
          <w:rFonts w:ascii="Calibri Light" w:hAnsi="Calibri Light" w:cs="Segoe UI"/>
          <w:i/>
          <w:iCs/>
          <w:sz w:val="20"/>
          <w:szCs w:val="20"/>
          <w:lang w:val="cs-CZ"/>
        </w:rPr>
        <w:t xml:space="preserve"> proti Oracle International </w:t>
      </w:r>
      <w:proofErr w:type="spellStart"/>
      <w:r w:rsidRPr="00763FE8">
        <w:rPr>
          <w:rFonts w:ascii="Calibri Light" w:hAnsi="Calibri Light" w:cs="Segoe UI"/>
          <w:i/>
          <w:iCs/>
          <w:sz w:val="20"/>
          <w:szCs w:val="20"/>
          <w:lang w:val="cs-CZ"/>
        </w:rPr>
        <w:t>Corp</w:t>
      </w:r>
      <w:proofErr w:type="spellEnd"/>
      <w:r w:rsidRPr="00763FE8">
        <w:rPr>
          <w:rFonts w:ascii="Calibri Light" w:hAnsi="Calibri Light" w:cs="Segoe UI"/>
          <w:i/>
          <w:iCs/>
          <w:sz w:val="20"/>
          <w:szCs w:val="20"/>
          <w:lang w:val="cs-CZ"/>
        </w:rPr>
        <w:t>. (rozhodnutí ze dne 3. července 2012, případ č. C-128/11)</w:t>
      </w:r>
      <w:r w:rsidRPr="00763FE8">
        <w:rPr>
          <w:rFonts w:ascii="Calibri Light" w:hAnsi="Calibri Light" w:cs="Segoe UI"/>
          <w:i/>
          <w:sz w:val="20"/>
          <w:szCs w:val="20"/>
          <w:lang w:val="cs-CZ"/>
        </w:rPr>
        <w:t xml:space="preserve"> specifikoval podmínky, které musí být splněny pro vyčerpání práv a zákonné užívací právo dle ustanovení článku 5 odst. 1 směrnice 2009/24/ES:</w:t>
      </w:r>
    </w:p>
    <w:p w14:paraId="1A66EB02"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795260B3" w14:textId="77777777"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bookmarkStart w:id="1" w:name="_Hlk37946942"/>
      <w:r w:rsidRPr="00763FE8">
        <w:rPr>
          <w:rFonts w:ascii="Calibri Light" w:hAnsi="Calibri Light" w:cs="Segoe UI"/>
          <w:i/>
          <w:sz w:val="20"/>
          <w:szCs w:val="20"/>
          <w:lang w:val="cs-CZ"/>
        </w:rPr>
        <w:t>Software musí být původně uveden na trh prodejem v rámci EHP majitelem autorských práv nebo s jeho souhlasem.</w:t>
      </w:r>
    </w:p>
    <w:p w14:paraId="68549CF9" w14:textId="77777777"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r w:rsidRPr="00763FE8">
        <w:rPr>
          <w:rFonts w:ascii="Calibri Light" w:hAnsi="Calibri Light" w:cs="Segoe UI"/>
          <w:i/>
          <w:sz w:val="20"/>
          <w:szCs w:val="20"/>
          <w:lang w:val="cs-CZ"/>
        </w:rPr>
        <w:t>Licence na software byla poskytnuta oproti úhradě poplatku, který zajišťuje majiteli práv získání odměny odpovídající ekonomické hodnotě kopie jeho díla.</w:t>
      </w:r>
    </w:p>
    <w:p w14:paraId="1116F6AB" w14:textId="77777777"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r w:rsidRPr="00763FE8">
        <w:rPr>
          <w:rFonts w:ascii="Calibri Light" w:hAnsi="Calibri Light" w:cs="Segoe UI"/>
          <w:i/>
          <w:sz w:val="20"/>
          <w:szCs w:val="20"/>
          <w:lang w:val="cs-CZ"/>
        </w:rPr>
        <w:t>Majitel autorského práva poskytnul původnímu nabyvateli licenci na časově neomezené užívání kopie počítačového programu.</w:t>
      </w:r>
    </w:p>
    <w:p w14:paraId="3901BB6A" w14:textId="77777777"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r w:rsidRPr="00763FE8">
        <w:rPr>
          <w:rFonts w:ascii="Calibri Light" w:hAnsi="Calibri Light" w:cs="Segoe UI"/>
          <w:i/>
          <w:sz w:val="20"/>
          <w:szCs w:val="20"/>
          <w:lang w:val="cs-CZ"/>
        </w:rPr>
        <w:t>Původní nabyvatel musí v okamžiku prodeje učinit svou kopii „nepoužitelnou“.</w:t>
      </w:r>
    </w:p>
    <w:bookmarkEnd w:id="1"/>
    <w:p w14:paraId="127F9B51"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447622AE"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lastRenderedPageBreak/>
        <w:t>V případě, že jsou tyto požadavky splněny, následující nabyvatel je oprávněn vytvořit kopii programu za účelem jeho užívání v rámci „zamýšleného účelu“ (článek 5 odst. 1 směrnice 2009/24/ES). Rozsah „zamýšleného účelu“ je definován licenční smlouvou mezi majitelem autorských práv a prvním nabyvatelem.</w:t>
      </w:r>
    </w:p>
    <w:p w14:paraId="031D4628"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151910F3"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Ve věci </w:t>
      </w:r>
      <w:proofErr w:type="spellStart"/>
      <w:r w:rsidRPr="00763FE8">
        <w:rPr>
          <w:rFonts w:ascii="Calibri Light" w:hAnsi="Calibri Light" w:cs="Segoe UI"/>
          <w:i/>
          <w:iCs/>
          <w:sz w:val="20"/>
          <w:szCs w:val="20"/>
          <w:lang w:val="cs-CZ"/>
        </w:rPr>
        <w:t>Aleksandrs</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Ranks</w:t>
      </w:r>
      <w:proofErr w:type="spellEnd"/>
      <w:r w:rsidRPr="00763FE8">
        <w:rPr>
          <w:rFonts w:ascii="Calibri Light" w:hAnsi="Calibri Light" w:cs="Segoe UI"/>
          <w:i/>
          <w:iCs/>
          <w:sz w:val="20"/>
          <w:szCs w:val="20"/>
          <w:lang w:val="cs-CZ"/>
        </w:rPr>
        <w:t xml:space="preserve"> a </w:t>
      </w:r>
      <w:proofErr w:type="spellStart"/>
      <w:r w:rsidRPr="00763FE8">
        <w:rPr>
          <w:rFonts w:ascii="Calibri Light" w:hAnsi="Calibri Light" w:cs="Segoe UI"/>
          <w:i/>
          <w:iCs/>
          <w:sz w:val="20"/>
          <w:szCs w:val="20"/>
          <w:lang w:val="cs-CZ"/>
        </w:rPr>
        <w:t>Jurijs</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Vasilevičs</w:t>
      </w:r>
      <w:proofErr w:type="spellEnd"/>
      <w:r w:rsidRPr="00763FE8">
        <w:rPr>
          <w:rFonts w:ascii="Calibri Light" w:hAnsi="Calibri Light" w:cs="Segoe UI"/>
          <w:i/>
          <w:iCs/>
          <w:sz w:val="20"/>
          <w:szCs w:val="20"/>
          <w:lang w:val="cs-CZ"/>
        </w:rPr>
        <w:t xml:space="preserve">  proti </w:t>
      </w:r>
      <w:proofErr w:type="spellStart"/>
      <w:r w:rsidRPr="00763FE8">
        <w:rPr>
          <w:rFonts w:ascii="Calibri Light" w:hAnsi="Calibri Light" w:cs="Segoe UI"/>
          <w:i/>
          <w:iCs/>
          <w:sz w:val="20"/>
          <w:szCs w:val="20"/>
          <w:lang w:val="cs-CZ"/>
        </w:rPr>
        <w:t>Finanšu</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un</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ekonomisko</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noziegumu</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izmeklešanas</w:t>
      </w:r>
      <w:proofErr w:type="spellEnd"/>
      <w:r w:rsidRPr="00763FE8">
        <w:rPr>
          <w:rFonts w:ascii="Calibri Light" w:hAnsi="Calibri Light" w:cs="Segoe UI"/>
          <w:i/>
          <w:iCs/>
          <w:sz w:val="20"/>
          <w:szCs w:val="20"/>
          <w:lang w:val="cs-CZ"/>
        </w:rPr>
        <w:t xml:space="preserve"> prokuratura a Microsoft </w:t>
      </w:r>
      <w:proofErr w:type="spellStart"/>
      <w:r w:rsidRPr="00763FE8">
        <w:rPr>
          <w:rFonts w:ascii="Calibri Light" w:hAnsi="Calibri Light" w:cs="Segoe UI"/>
          <w:i/>
          <w:iCs/>
          <w:sz w:val="20"/>
          <w:szCs w:val="20"/>
          <w:lang w:val="cs-CZ"/>
        </w:rPr>
        <w:t>Corp</w:t>
      </w:r>
      <w:proofErr w:type="spellEnd"/>
      <w:r w:rsidRPr="00763FE8">
        <w:rPr>
          <w:rFonts w:ascii="Calibri Light" w:hAnsi="Calibri Light" w:cs="Segoe UI"/>
          <w:i/>
          <w:iCs/>
          <w:sz w:val="20"/>
          <w:szCs w:val="20"/>
          <w:lang w:val="cs-CZ"/>
        </w:rPr>
        <w:t>. (rozhodnutí ze dne 12. října 2016, případ č. C-166/15)</w:t>
      </w:r>
      <w:r w:rsidRPr="00763FE8">
        <w:rPr>
          <w:rFonts w:ascii="Calibri Light" w:hAnsi="Calibri Light" w:cs="Segoe UI"/>
          <w:i/>
          <w:sz w:val="20"/>
          <w:szCs w:val="20"/>
          <w:lang w:val="cs-CZ"/>
        </w:rPr>
        <w:t xml:space="preserve"> pak SDEU znovu zdůraznil výše uvedené požadavky.</w:t>
      </w:r>
    </w:p>
    <w:p w14:paraId="7DABF864"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49651B6C"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SDEU dále v případu Van </w:t>
      </w:r>
      <w:proofErr w:type="spellStart"/>
      <w:r w:rsidRPr="00763FE8">
        <w:rPr>
          <w:rFonts w:ascii="Calibri Light" w:hAnsi="Calibri Light" w:cs="Segoe UI"/>
          <w:i/>
          <w:iCs/>
          <w:sz w:val="20"/>
          <w:szCs w:val="20"/>
          <w:lang w:val="cs-CZ"/>
        </w:rPr>
        <w:t>Doren</w:t>
      </w:r>
      <w:proofErr w:type="spellEnd"/>
      <w:r w:rsidRPr="00763FE8">
        <w:rPr>
          <w:rFonts w:ascii="Calibri Light" w:hAnsi="Calibri Light" w:cs="Segoe UI"/>
          <w:i/>
          <w:iCs/>
          <w:sz w:val="20"/>
          <w:szCs w:val="20"/>
          <w:lang w:val="cs-CZ"/>
        </w:rPr>
        <w:t xml:space="preserve"> a Q. </w:t>
      </w:r>
      <w:proofErr w:type="spellStart"/>
      <w:r w:rsidRPr="00763FE8">
        <w:rPr>
          <w:rFonts w:ascii="Calibri Light" w:hAnsi="Calibri Light" w:cs="Segoe UI"/>
          <w:i/>
          <w:iCs/>
          <w:sz w:val="20"/>
          <w:szCs w:val="20"/>
          <w:lang w:val="cs-CZ"/>
        </w:rPr>
        <w:t>GmbH</w:t>
      </w:r>
      <w:proofErr w:type="spellEnd"/>
      <w:r w:rsidRPr="00763FE8">
        <w:rPr>
          <w:rFonts w:ascii="Calibri Light" w:hAnsi="Calibri Light" w:cs="Segoe UI"/>
          <w:i/>
          <w:iCs/>
          <w:sz w:val="20"/>
          <w:szCs w:val="20"/>
          <w:lang w:val="cs-CZ"/>
        </w:rPr>
        <w:t xml:space="preserve"> proti Lifestyle </w:t>
      </w:r>
      <w:proofErr w:type="spellStart"/>
      <w:r w:rsidRPr="00763FE8">
        <w:rPr>
          <w:rFonts w:ascii="Calibri Light" w:hAnsi="Calibri Light" w:cs="Segoe UI"/>
          <w:i/>
          <w:iCs/>
          <w:sz w:val="20"/>
          <w:szCs w:val="20"/>
          <w:lang w:val="cs-CZ"/>
        </w:rPr>
        <w:t>sports</w:t>
      </w:r>
      <w:proofErr w:type="spellEnd"/>
      <w:r w:rsidRPr="00763FE8">
        <w:rPr>
          <w:rFonts w:ascii="Calibri Light" w:hAnsi="Calibri Light" w:cs="Segoe UI"/>
          <w:i/>
          <w:iCs/>
          <w:sz w:val="20"/>
          <w:szCs w:val="20"/>
          <w:lang w:val="cs-CZ"/>
        </w:rPr>
        <w:t xml:space="preserve"> and </w:t>
      </w:r>
      <w:proofErr w:type="spellStart"/>
      <w:r w:rsidRPr="00763FE8">
        <w:rPr>
          <w:rFonts w:ascii="Calibri Light" w:hAnsi="Calibri Light" w:cs="Segoe UI"/>
          <w:i/>
          <w:iCs/>
          <w:sz w:val="20"/>
          <w:szCs w:val="20"/>
          <w:lang w:val="cs-CZ"/>
        </w:rPr>
        <w:t>sportswear</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Handelsgesellschaft</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GmbH</w:t>
      </w:r>
      <w:proofErr w:type="spellEnd"/>
      <w:r w:rsidRPr="00763FE8">
        <w:rPr>
          <w:rFonts w:ascii="Calibri Light" w:hAnsi="Calibri Light" w:cs="Segoe UI"/>
          <w:i/>
          <w:sz w:val="20"/>
          <w:szCs w:val="20"/>
          <w:lang w:val="cs-CZ"/>
        </w:rPr>
        <w:t xml:space="preserve"> konstatoval, že existenci podmínek pro „vyčerpání musí být prokázáno třetí stranou, která se na existenci takových podmínek spoléhá“ (</w:t>
      </w:r>
      <w:r w:rsidRPr="00763FE8">
        <w:rPr>
          <w:rFonts w:ascii="Calibri Light" w:hAnsi="Calibri Light" w:cs="Segoe UI"/>
          <w:i/>
          <w:iCs/>
          <w:sz w:val="20"/>
          <w:szCs w:val="20"/>
          <w:lang w:val="cs-CZ"/>
        </w:rPr>
        <w:t>rozhodnutí ze dne 8. dubna 2003, případ č. C-244/00</w:t>
      </w:r>
      <w:r w:rsidRPr="00763FE8">
        <w:rPr>
          <w:rFonts w:ascii="Calibri Light" w:hAnsi="Calibri Light" w:cs="Segoe UI"/>
          <w:i/>
          <w:sz w:val="20"/>
          <w:szCs w:val="20"/>
          <w:lang w:val="cs-CZ"/>
        </w:rPr>
        <w:t xml:space="preserve">). Ve věci </w:t>
      </w:r>
      <w:proofErr w:type="spellStart"/>
      <w:r w:rsidRPr="00763FE8">
        <w:rPr>
          <w:rFonts w:ascii="Calibri Light" w:hAnsi="Calibri Light" w:cs="Segoe UI"/>
          <w:i/>
          <w:iCs/>
          <w:sz w:val="20"/>
          <w:szCs w:val="20"/>
          <w:lang w:val="cs-CZ"/>
        </w:rPr>
        <w:t>Aleksandrs</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Ranks</w:t>
      </w:r>
      <w:proofErr w:type="spellEnd"/>
      <w:r w:rsidRPr="00763FE8">
        <w:rPr>
          <w:rFonts w:ascii="Calibri Light" w:hAnsi="Calibri Light" w:cs="Segoe UI"/>
          <w:i/>
          <w:iCs/>
          <w:sz w:val="20"/>
          <w:szCs w:val="20"/>
          <w:lang w:val="cs-CZ"/>
        </w:rPr>
        <w:t xml:space="preserve"> a </w:t>
      </w:r>
      <w:proofErr w:type="spellStart"/>
      <w:r w:rsidRPr="00763FE8">
        <w:rPr>
          <w:rFonts w:ascii="Calibri Light" w:hAnsi="Calibri Light" w:cs="Segoe UI"/>
          <w:i/>
          <w:iCs/>
          <w:sz w:val="20"/>
          <w:szCs w:val="20"/>
          <w:lang w:val="cs-CZ"/>
        </w:rPr>
        <w:t>Jurijs</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Vasilevičs</w:t>
      </w:r>
      <w:proofErr w:type="spellEnd"/>
      <w:r w:rsidRPr="00763FE8">
        <w:rPr>
          <w:rFonts w:ascii="Calibri Light" w:hAnsi="Calibri Light" w:cs="Segoe UI"/>
          <w:i/>
          <w:iCs/>
          <w:sz w:val="20"/>
          <w:szCs w:val="20"/>
          <w:lang w:val="cs-CZ"/>
        </w:rPr>
        <w:t xml:space="preserve">  proti </w:t>
      </w:r>
      <w:proofErr w:type="spellStart"/>
      <w:r w:rsidRPr="00763FE8">
        <w:rPr>
          <w:rFonts w:ascii="Calibri Light" w:hAnsi="Calibri Light" w:cs="Segoe UI"/>
          <w:i/>
          <w:iCs/>
          <w:sz w:val="20"/>
          <w:szCs w:val="20"/>
          <w:lang w:val="cs-CZ"/>
        </w:rPr>
        <w:t>Finanšu</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un</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ekonomisko</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noziegumu</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izmeklešanas</w:t>
      </w:r>
      <w:proofErr w:type="spellEnd"/>
      <w:r w:rsidRPr="00763FE8">
        <w:rPr>
          <w:rFonts w:ascii="Calibri Light" w:hAnsi="Calibri Light" w:cs="Segoe UI"/>
          <w:i/>
          <w:iCs/>
          <w:sz w:val="20"/>
          <w:szCs w:val="20"/>
          <w:lang w:val="cs-CZ"/>
        </w:rPr>
        <w:t xml:space="preserve"> prokuratura a Microsoft </w:t>
      </w:r>
      <w:proofErr w:type="spellStart"/>
      <w:r w:rsidRPr="00763FE8">
        <w:rPr>
          <w:rFonts w:ascii="Calibri Light" w:hAnsi="Calibri Light" w:cs="Segoe UI"/>
          <w:i/>
          <w:iCs/>
          <w:sz w:val="20"/>
          <w:szCs w:val="20"/>
          <w:lang w:val="cs-CZ"/>
        </w:rPr>
        <w:t>Corp</w:t>
      </w:r>
      <w:proofErr w:type="spellEnd"/>
      <w:r w:rsidRPr="00763FE8">
        <w:rPr>
          <w:rFonts w:ascii="Calibri Light" w:hAnsi="Calibri Light" w:cs="Segoe UI"/>
          <w:i/>
          <w:iCs/>
          <w:sz w:val="20"/>
          <w:szCs w:val="20"/>
          <w:lang w:val="cs-CZ"/>
        </w:rPr>
        <w:t xml:space="preserve">. </w:t>
      </w:r>
      <w:r w:rsidRPr="00763FE8">
        <w:rPr>
          <w:rFonts w:ascii="Calibri Light" w:hAnsi="Calibri Light" w:cs="Segoe UI"/>
          <w:i/>
          <w:sz w:val="20"/>
          <w:szCs w:val="20"/>
          <w:lang w:val="cs-CZ"/>
        </w:rPr>
        <w:t xml:space="preserve">SDEU zdůraznil, že nabyvatel licence k užívání použitého počítačového programu, který spoléhá na pravidlo vyčerpání, musí „prokázat, jakýmikoliv dostupnými důkazy, že licenci získal zákonným způsobem“. Toto také znamená, že v případě kdy uživatel nezískal vyčerpanou kopii programu přímo od původního držitele licence ale od třetí strany, která sama kopii získala přímo nebo nepřímo od prvního držitele licence, uživatel má také povinnost prokázat, že tato třetí strana, stejně jako všichni ostatní dočasní držitelé, učinili předchozí kopie programu nepoužitelnými. </w:t>
      </w:r>
    </w:p>
    <w:p w14:paraId="46D9EB41"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31230178"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Poté, co byl případ </w:t>
      </w:r>
      <w:proofErr w:type="spellStart"/>
      <w:r w:rsidRPr="00763FE8">
        <w:rPr>
          <w:rFonts w:ascii="Calibri Light" w:hAnsi="Calibri Light" w:cs="Segoe UI"/>
          <w:i/>
          <w:iCs/>
          <w:sz w:val="20"/>
          <w:szCs w:val="20"/>
          <w:lang w:val="cs-CZ" w:eastAsia="de-DE"/>
        </w:rPr>
        <w:t>UsedSoft</w:t>
      </w:r>
      <w:proofErr w:type="spellEnd"/>
      <w:r w:rsidRPr="00763FE8">
        <w:rPr>
          <w:rFonts w:ascii="Calibri Light" w:hAnsi="Calibri Light" w:cs="Segoe UI"/>
          <w:i/>
          <w:iCs/>
          <w:sz w:val="20"/>
          <w:szCs w:val="20"/>
          <w:lang w:val="cs-CZ" w:eastAsia="de-DE"/>
        </w:rPr>
        <w:t xml:space="preserve"> </w:t>
      </w:r>
      <w:proofErr w:type="spellStart"/>
      <w:r w:rsidRPr="00763FE8">
        <w:rPr>
          <w:rFonts w:ascii="Calibri Light" w:hAnsi="Calibri Light" w:cs="Segoe UI"/>
          <w:i/>
          <w:iCs/>
          <w:sz w:val="20"/>
          <w:szCs w:val="20"/>
          <w:lang w:val="cs-CZ" w:eastAsia="de-DE"/>
        </w:rPr>
        <w:t>GmbH</w:t>
      </w:r>
      <w:proofErr w:type="spellEnd"/>
      <w:r w:rsidRPr="00763FE8">
        <w:rPr>
          <w:rFonts w:ascii="Calibri Light" w:hAnsi="Calibri Light" w:cs="Segoe UI"/>
          <w:i/>
          <w:iCs/>
          <w:sz w:val="20"/>
          <w:szCs w:val="20"/>
          <w:lang w:val="cs-CZ" w:eastAsia="de-DE"/>
        </w:rPr>
        <w:t xml:space="preserve"> proti Oracle International </w:t>
      </w:r>
      <w:proofErr w:type="spellStart"/>
      <w:r w:rsidRPr="00763FE8">
        <w:rPr>
          <w:rFonts w:ascii="Calibri Light" w:hAnsi="Calibri Light" w:cs="Segoe UI"/>
          <w:i/>
          <w:iCs/>
          <w:sz w:val="20"/>
          <w:szCs w:val="20"/>
          <w:lang w:val="cs-CZ" w:eastAsia="de-DE"/>
        </w:rPr>
        <w:t>Corp</w:t>
      </w:r>
      <w:proofErr w:type="spellEnd"/>
      <w:r w:rsidRPr="00763FE8">
        <w:rPr>
          <w:rFonts w:ascii="Calibri Light" w:hAnsi="Calibri Light" w:cs="Segoe UI"/>
          <w:i/>
          <w:sz w:val="20"/>
          <w:szCs w:val="20"/>
          <w:lang w:val="cs-CZ" w:eastAsia="de-DE"/>
        </w:rPr>
        <w:t>.</w:t>
      </w:r>
      <w:r w:rsidRPr="00763FE8">
        <w:rPr>
          <w:rFonts w:ascii="Calibri Light" w:hAnsi="Calibri Light" w:cs="Segoe UI"/>
          <w:i/>
          <w:sz w:val="20"/>
          <w:szCs w:val="20"/>
          <w:lang w:val="cs-CZ"/>
        </w:rPr>
        <w:t xml:space="preserve"> vrácen německému Spolkovému ústavnímu soudu (</w:t>
      </w:r>
      <w:r w:rsidRPr="00763FE8">
        <w:rPr>
          <w:rFonts w:ascii="Calibri Light" w:hAnsi="Calibri Light" w:cs="Segoe UI"/>
          <w:i/>
          <w:iCs/>
          <w:sz w:val="20"/>
          <w:szCs w:val="20"/>
          <w:lang w:val="cs-CZ"/>
        </w:rPr>
        <w:t>rozhodnutí ze dne 17. července 2013, případ č. I ZR 129/08</w:t>
      </w:r>
      <w:r w:rsidRPr="00763FE8">
        <w:rPr>
          <w:rFonts w:ascii="Calibri Light" w:hAnsi="Calibri Light" w:cs="Segoe UI"/>
          <w:i/>
          <w:sz w:val="20"/>
          <w:szCs w:val="20"/>
          <w:lang w:val="cs-CZ"/>
        </w:rPr>
        <w:t xml:space="preserve">) a následně odvolacímu soudu v Mnichově, soud shledal, že odpůrce „naprosto“ nesplnil důkazní povinnost v souvislosti s jím namítaným vyčerpáním. </w:t>
      </w:r>
    </w:p>
    <w:p w14:paraId="26FC1ECE"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31367FE1"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Konečně, ve věci </w:t>
      </w:r>
      <w:proofErr w:type="spellStart"/>
      <w:r w:rsidRPr="00763FE8">
        <w:rPr>
          <w:rFonts w:ascii="Calibri Light" w:hAnsi="Calibri Light" w:cs="Segoe UI"/>
          <w:i/>
          <w:iCs/>
          <w:sz w:val="20"/>
          <w:szCs w:val="20"/>
          <w:lang w:val="cs-CZ"/>
        </w:rPr>
        <w:t>Aleksandrs</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Ranks</w:t>
      </w:r>
      <w:proofErr w:type="spellEnd"/>
      <w:r w:rsidRPr="00763FE8">
        <w:rPr>
          <w:rFonts w:ascii="Calibri Light" w:hAnsi="Calibri Light" w:cs="Segoe UI"/>
          <w:i/>
          <w:iCs/>
          <w:sz w:val="20"/>
          <w:szCs w:val="20"/>
          <w:lang w:val="cs-CZ"/>
        </w:rPr>
        <w:t xml:space="preserve"> a </w:t>
      </w:r>
      <w:proofErr w:type="spellStart"/>
      <w:r w:rsidRPr="00763FE8">
        <w:rPr>
          <w:rFonts w:ascii="Calibri Light" w:hAnsi="Calibri Light" w:cs="Segoe UI"/>
          <w:i/>
          <w:iCs/>
          <w:sz w:val="20"/>
          <w:szCs w:val="20"/>
          <w:lang w:val="cs-CZ"/>
        </w:rPr>
        <w:t>Jurijs</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Vasilevičs</w:t>
      </w:r>
      <w:proofErr w:type="spellEnd"/>
      <w:r w:rsidRPr="00763FE8">
        <w:rPr>
          <w:rFonts w:ascii="Calibri Light" w:hAnsi="Calibri Light" w:cs="Segoe UI"/>
          <w:i/>
          <w:iCs/>
          <w:sz w:val="20"/>
          <w:szCs w:val="20"/>
          <w:lang w:val="cs-CZ"/>
        </w:rPr>
        <w:t xml:space="preserve">  proti </w:t>
      </w:r>
      <w:proofErr w:type="spellStart"/>
      <w:r w:rsidRPr="00763FE8">
        <w:rPr>
          <w:rFonts w:ascii="Calibri Light" w:hAnsi="Calibri Light" w:cs="Segoe UI"/>
          <w:i/>
          <w:iCs/>
          <w:sz w:val="20"/>
          <w:szCs w:val="20"/>
          <w:lang w:val="cs-CZ"/>
        </w:rPr>
        <w:t>Finanšu</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un</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ekonomisko</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noziegumu</w:t>
      </w:r>
      <w:proofErr w:type="spellEnd"/>
      <w:r w:rsidRPr="00763FE8">
        <w:rPr>
          <w:rFonts w:ascii="Calibri Light" w:hAnsi="Calibri Light" w:cs="Segoe UI"/>
          <w:i/>
          <w:iCs/>
          <w:sz w:val="20"/>
          <w:szCs w:val="20"/>
          <w:lang w:val="cs-CZ"/>
        </w:rPr>
        <w:t xml:space="preserve"> </w:t>
      </w:r>
      <w:proofErr w:type="spellStart"/>
      <w:r w:rsidRPr="00763FE8">
        <w:rPr>
          <w:rFonts w:ascii="Calibri Light" w:hAnsi="Calibri Light" w:cs="Segoe UI"/>
          <w:i/>
          <w:iCs/>
          <w:sz w:val="20"/>
          <w:szCs w:val="20"/>
          <w:lang w:val="cs-CZ"/>
        </w:rPr>
        <w:t>izmeklešanas</w:t>
      </w:r>
      <w:proofErr w:type="spellEnd"/>
      <w:r w:rsidRPr="00763FE8">
        <w:rPr>
          <w:rFonts w:ascii="Calibri Light" w:hAnsi="Calibri Light" w:cs="Segoe UI"/>
          <w:i/>
          <w:iCs/>
          <w:sz w:val="20"/>
          <w:szCs w:val="20"/>
          <w:lang w:val="cs-CZ"/>
        </w:rPr>
        <w:t xml:space="preserve"> prokuratura a Microsoft </w:t>
      </w:r>
      <w:proofErr w:type="spellStart"/>
      <w:r w:rsidRPr="00763FE8">
        <w:rPr>
          <w:rFonts w:ascii="Calibri Light" w:hAnsi="Calibri Light" w:cs="Segoe UI"/>
          <w:i/>
          <w:iCs/>
          <w:sz w:val="20"/>
          <w:szCs w:val="20"/>
          <w:lang w:val="cs-CZ"/>
        </w:rPr>
        <w:t>Corp</w:t>
      </w:r>
      <w:proofErr w:type="spellEnd"/>
      <w:r w:rsidRPr="00763FE8">
        <w:rPr>
          <w:rFonts w:ascii="Calibri Light" w:hAnsi="Calibri Light" w:cs="Segoe UI"/>
          <w:i/>
          <w:iCs/>
          <w:sz w:val="20"/>
          <w:szCs w:val="20"/>
          <w:lang w:val="cs-CZ"/>
        </w:rPr>
        <w:t xml:space="preserve">. </w:t>
      </w:r>
      <w:r w:rsidRPr="00763FE8">
        <w:rPr>
          <w:rFonts w:ascii="Calibri Light" w:hAnsi="Calibri Light" w:cs="Segoe UI"/>
          <w:i/>
          <w:sz w:val="20"/>
          <w:szCs w:val="20"/>
          <w:lang w:val="cs-CZ"/>
        </w:rPr>
        <w:t>SDEU konstatoval, že nabyvatel trvalé licence, který získal software na datovém nosiči (např. na DVD), nemůže, pokud je datový nosič poškozen či ztracen, prodat svou záložní kopii počítačového programu dalšímu nabyvateli bez souhlasu majitele autorských práv.</w:t>
      </w:r>
    </w:p>
    <w:p w14:paraId="12D4B9AD"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14:paraId="05E3DAA6" w14:textId="77777777"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Proto společnost Microsoft doporučuje pečlivě zkoumat původ a podmínky nabízeného softwaru z druhé ruky a ujistit se, že byly skutečně splněny požadavky na vyčerpání definované SDEU a že mohou být prokázány, pokud je vyčerpání namítáno. </w:t>
      </w:r>
    </w:p>
    <w:p w14:paraId="1147B9A5" w14:textId="77777777" w:rsidR="00EC2645" w:rsidRPr="00763FE8" w:rsidRDefault="00EC2645" w:rsidP="00EC2645">
      <w:pPr>
        <w:rPr>
          <w:rFonts w:ascii="Calibri Light" w:hAnsi="Calibri Light" w:cs="Segoe UI"/>
          <w:i/>
          <w:sz w:val="20"/>
          <w:szCs w:val="20"/>
        </w:rPr>
      </w:pPr>
    </w:p>
    <w:p w14:paraId="07A9B048" w14:textId="77777777"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S pozdravem,</w:t>
      </w:r>
    </w:p>
    <w:p w14:paraId="13DC7C9F" w14:textId="77777777"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 xml:space="preserve">Marja </w:t>
      </w:r>
      <w:proofErr w:type="spellStart"/>
      <w:r w:rsidRPr="00763FE8">
        <w:rPr>
          <w:rFonts w:ascii="Calibri Light" w:hAnsi="Calibri Light" w:cs="Segoe UI"/>
          <w:i/>
          <w:sz w:val="20"/>
          <w:szCs w:val="20"/>
        </w:rPr>
        <w:t>Laitinen</w:t>
      </w:r>
      <w:proofErr w:type="spellEnd"/>
    </w:p>
    <w:p w14:paraId="0CA597A9" w14:textId="77777777"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 xml:space="preserve">Senior </w:t>
      </w:r>
      <w:proofErr w:type="spellStart"/>
      <w:r w:rsidRPr="00763FE8">
        <w:rPr>
          <w:rFonts w:ascii="Calibri Light" w:hAnsi="Calibri Light" w:cs="Segoe UI"/>
          <w:i/>
          <w:sz w:val="20"/>
          <w:szCs w:val="20"/>
        </w:rPr>
        <w:t>Attorney</w:t>
      </w:r>
      <w:proofErr w:type="spellEnd"/>
    </w:p>
    <w:p w14:paraId="47B7F534" w14:textId="77777777"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 xml:space="preserve">Microsoft Digital </w:t>
      </w:r>
      <w:proofErr w:type="spellStart"/>
      <w:r w:rsidRPr="00763FE8">
        <w:rPr>
          <w:rFonts w:ascii="Calibri Light" w:hAnsi="Calibri Light" w:cs="Segoe UI"/>
          <w:i/>
          <w:sz w:val="20"/>
          <w:szCs w:val="20"/>
        </w:rPr>
        <w:t>Crimes</w:t>
      </w:r>
      <w:proofErr w:type="spellEnd"/>
      <w:r w:rsidRPr="00763FE8">
        <w:rPr>
          <w:rFonts w:ascii="Calibri Light" w:hAnsi="Calibri Light" w:cs="Segoe UI"/>
          <w:i/>
          <w:sz w:val="20"/>
          <w:szCs w:val="20"/>
        </w:rPr>
        <w:t xml:space="preserve"> Unit, </w:t>
      </w:r>
      <w:proofErr w:type="spellStart"/>
      <w:r w:rsidRPr="00763FE8">
        <w:rPr>
          <w:rFonts w:ascii="Calibri Light" w:hAnsi="Calibri Light" w:cs="Segoe UI"/>
          <w:i/>
          <w:sz w:val="20"/>
          <w:szCs w:val="20"/>
        </w:rPr>
        <w:t>Central</w:t>
      </w:r>
      <w:proofErr w:type="spellEnd"/>
      <w:r w:rsidRPr="00763FE8">
        <w:rPr>
          <w:rFonts w:ascii="Calibri Light" w:hAnsi="Calibri Light" w:cs="Segoe UI"/>
          <w:i/>
          <w:sz w:val="20"/>
          <w:szCs w:val="20"/>
        </w:rPr>
        <w:t xml:space="preserve"> and </w:t>
      </w:r>
      <w:proofErr w:type="spellStart"/>
      <w:r w:rsidRPr="00763FE8">
        <w:rPr>
          <w:rFonts w:ascii="Calibri Light" w:hAnsi="Calibri Light" w:cs="Segoe UI"/>
          <w:i/>
          <w:sz w:val="20"/>
          <w:szCs w:val="20"/>
        </w:rPr>
        <w:t>Eastern</w:t>
      </w:r>
      <w:proofErr w:type="spellEnd"/>
      <w:r w:rsidRPr="00763FE8">
        <w:rPr>
          <w:rFonts w:ascii="Calibri Light" w:hAnsi="Calibri Light" w:cs="Segoe UI"/>
          <w:i/>
          <w:sz w:val="20"/>
          <w:szCs w:val="20"/>
        </w:rPr>
        <w:t xml:space="preserve"> </w:t>
      </w:r>
      <w:proofErr w:type="spellStart"/>
      <w:r w:rsidRPr="00763FE8">
        <w:rPr>
          <w:rFonts w:ascii="Calibri Light" w:hAnsi="Calibri Light" w:cs="Segoe UI"/>
          <w:i/>
          <w:sz w:val="20"/>
          <w:szCs w:val="20"/>
        </w:rPr>
        <w:t>Europe</w:t>
      </w:r>
      <w:proofErr w:type="spellEnd"/>
    </w:p>
    <w:p w14:paraId="77469850" w14:textId="77777777" w:rsidR="00EC2645" w:rsidRPr="00763FE8" w:rsidRDefault="00EC2645" w:rsidP="00EC2645">
      <w:pPr>
        <w:spacing w:after="0"/>
        <w:rPr>
          <w:rFonts w:ascii="Calibri" w:hAnsi="Calibri" w:cs="Calibri"/>
          <w:i/>
          <w:sz w:val="20"/>
          <w:szCs w:val="20"/>
        </w:rPr>
      </w:pPr>
    </w:p>
    <w:p w14:paraId="6A4E3FC1" w14:textId="77777777" w:rsidR="001509FD" w:rsidRDefault="001509FD"/>
    <w:sectPr w:rsidR="001509FD" w:rsidSect="001509FD">
      <w:headerReference w:type="default" r:id="rId9"/>
      <w:pgSz w:w="11910" w:h="16840"/>
      <w:pgMar w:top="1418" w:right="1418" w:bottom="851" w:left="1418" w:header="709" w:footer="771"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790C" w14:textId="77777777" w:rsidR="001509FD" w:rsidRDefault="001509FD" w:rsidP="00EC2645">
      <w:pPr>
        <w:spacing w:after="0" w:line="240" w:lineRule="auto"/>
      </w:pPr>
      <w:r>
        <w:separator/>
      </w:r>
    </w:p>
  </w:endnote>
  <w:endnote w:type="continuationSeparator" w:id="0">
    <w:p w14:paraId="37E4D7D3" w14:textId="77777777" w:rsidR="001509FD" w:rsidRDefault="001509FD" w:rsidP="00EC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04B8" w14:textId="77777777" w:rsidR="001509FD" w:rsidRDefault="001509FD" w:rsidP="00EC2645">
      <w:pPr>
        <w:spacing w:after="0" w:line="240" w:lineRule="auto"/>
      </w:pPr>
      <w:r>
        <w:separator/>
      </w:r>
    </w:p>
  </w:footnote>
  <w:footnote w:type="continuationSeparator" w:id="0">
    <w:p w14:paraId="5DF729F4" w14:textId="77777777" w:rsidR="001509FD" w:rsidRDefault="001509FD" w:rsidP="00EC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BCA8" w14:textId="48D9D1C5" w:rsidR="00E76CC0" w:rsidRDefault="00E76CC0" w:rsidP="00E76CC0">
    <w:pPr>
      <w:pStyle w:val="Zhlav"/>
      <w:spacing w:after="120"/>
      <w:ind w:left="-567" w:firstLine="425"/>
      <w:rPr>
        <w:rFonts w:ascii="Calibri" w:eastAsia="Times New Roman" w:hAnsi="Calibri"/>
        <w:sz w:val="18"/>
        <w:szCs w:val="18"/>
      </w:rPr>
    </w:pPr>
    <w:r>
      <w:rPr>
        <w:rFonts w:ascii="Calibri" w:hAnsi="Calibri"/>
        <w:sz w:val="18"/>
        <w:szCs w:val="18"/>
        <w:lang w:val="en-US"/>
      </w:rPr>
      <w:t xml:space="preserve">  </w:t>
    </w:r>
    <w:r>
      <w:rPr>
        <w:rFonts w:ascii="Calibri" w:hAnsi="Calibri"/>
        <w:sz w:val="18"/>
        <w:szCs w:val="18"/>
      </w:rPr>
      <w:t>Příloha č. 3 zadávací dokumentace – Specifikace předmětu VZ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3628"/>
    <w:multiLevelType w:val="hybridMultilevel"/>
    <w:tmpl w:val="CD20C968"/>
    <w:lvl w:ilvl="0" w:tplc="7780CCB4">
      <w:start w:val="51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803A7C"/>
    <w:multiLevelType w:val="hybridMultilevel"/>
    <w:tmpl w:val="EB0CB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45"/>
    <w:rsid w:val="00033073"/>
    <w:rsid w:val="00084588"/>
    <w:rsid w:val="001509FD"/>
    <w:rsid w:val="00177C09"/>
    <w:rsid w:val="003D0169"/>
    <w:rsid w:val="00495E2E"/>
    <w:rsid w:val="005426D3"/>
    <w:rsid w:val="005616B2"/>
    <w:rsid w:val="00577E18"/>
    <w:rsid w:val="005F3626"/>
    <w:rsid w:val="008416F5"/>
    <w:rsid w:val="008A24D9"/>
    <w:rsid w:val="008A5D3A"/>
    <w:rsid w:val="009D181E"/>
    <w:rsid w:val="00A012EB"/>
    <w:rsid w:val="00A208E1"/>
    <w:rsid w:val="00AC51E6"/>
    <w:rsid w:val="00BC00A4"/>
    <w:rsid w:val="00BF4522"/>
    <w:rsid w:val="00BF6ED9"/>
    <w:rsid w:val="00C42F88"/>
    <w:rsid w:val="00CD25A1"/>
    <w:rsid w:val="00CE3760"/>
    <w:rsid w:val="00D54193"/>
    <w:rsid w:val="00DA0956"/>
    <w:rsid w:val="00E02DC5"/>
    <w:rsid w:val="00E640A6"/>
    <w:rsid w:val="00E76CC0"/>
    <w:rsid w:val="00EC2645"/>
    <w:rsid w:val="00F37F3D"/>
    <w:rsid w:val="00F47548"/>
    <w:rsid w:val="00F94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26D1"/>
  <w15:chartTrackingRefBased/>
  <w15:docId w15:val="{7320F1AE-C97B-4BDC-B0FB-D34898D3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645"/>
    <w:pPr>
      <w:spacing w:after="200" w:line="276" w:lineRule="auto"/>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C2645"/>
    <w:pPr>
      <w:tabs>
        <w:tab w:val="center" w:pos="4536"/>
        <w:tab w:val="right" w:pos="9072"/>
      </w:tabs>
    </w:pPr>
  </w:style>
  <w:style w:type="character" w:customStyle="1" w:styleId="ZhlavChar">
    <w:name w:val="Záhlaví Char"/>
    <w:basedOn w:val="Standardnpsmoodstavce"/>
    <w:link w:val="Zhlav"/>
    <w:uiPriority w:val="99"/>
    <w:rsid w:val="00EC2645"/>
    <w:rPr>
      <w:rFonts w:ascii="Times New Roman" w:eastAsia="Calibri" w:hAnsi="Times New Roman" w:cs="Times New Roman"/>
    </w:rPr>
  </w:style>
  <w:style w:type="paragraph" w:customStyle="1" w:styleId="ListParagraph3">
    <w:name w:val="List Paragraph3"/>
    <w:basedOn w:val="Normln"/>
    <w:rsid w:val="00EC2645"/>
    <w:pPr>
      <w:spacing w:after="0" w:line="240" w:lineRule="auto"/>
      <w:ind w:left="720"/>
    </w:pPr>
    <w:rPr>
      <w:rFonts w:ascii="Calibri" w:eastAsia="Times New Roman" w:hAnsi="Calibri" w:cs="Calibri"/>
      <w:lang w:val="en-US"/>
    </w:rPr>
  </w:style>
  <w:style w:type="paragraph" w:styleId="Zpat">
    <w:name w:val="footer"/>
    <w:basedOn w:val="Normln"/>
    <w:link w:val="ZpatChar"/>
    <w:uiPriority w:val="99"/>
    <w:unhideWhenUsed/>
    <w:rsid w:val="00EC2645"/>
    <w:pPr>
      <w:tabs>
        <w:tab w:val="center" w:pos="4536"/>
        <w:tab w:val="right" w:pos="9072"/>
      </w:tabs>
      <w:spacing w:after="0" w:line="240" w:lineRule="auto"/>
    </w:pPr>
  </w:style>
  <w:style w:type="character" w:customStyle="1" w:styleId="ZpatChar">
    <w:name w:val="Zápatí Char"/>
    <w:basedOn w:val="Standardnpsmoodstavce"/>
    <w:link w:val="Zpat"/>
    <w:uiPriority w:val="99"/>
    <w:rsid w:val="00EC2645"/>
    <w:rPr>
      <w:rFonts w:ascii="Times New Roman" w:eastAsia="Calibri" w:hAnsi="Times New Roman" w:cs="Times New Roman"/>
    </w:rPr>
  </w:style>
  <w:style w:type="table" w:styleId="Mkatabulky">
    <w:name w:val="Table Grid"/>
    <w:basedOn w:val="Normlntabulka"/>
    <w:uiPriority w:val="39"/>
    <w:rsid w:val="00A0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5E2E"/>
    <w:pPr>
      <w:ind w:left="720"/>
      <w:contextualSpacing/>
    </w:pPr>
  </w:style>
  <w:style w:type="character" w:styleId="Hypertextovodkaz">
    <w:name w:val="Hyperlink"/>
    <w:basedOn w:val="Standardnpsmoodstavce"/>
    <w:uiPriority w:val="99"/>
    <w:unhideWhenUsed/>
    <w:rsid w:val="00577E18"/>
    <w:rPr>
      <w:color w:val="0563C1" w:themeColor="hyperlink"/>
      <w:u w:val="single"/>
    </w:rPr>
  </w:style>
  <w:style w:type="character" w:customStyle="1" w:styleId="Nevyeenzmnka1">
    <w:name w:val="Nevyřešená zmínka1"/>
    <w:basedOn w:val="Standardnpsmoodstavce"/>
    <w:uiPriority w:val="99"/>
    <w:semiHidden/>
    <w:unhideWhenUsed/>
    <w:rsid w:val="00577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lic.eu/wp-content/uploads/2018/02/Microsoft_Reactive_SHS_Letter_to_EU_Customers-Partners_.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1083</Words>
  <Characters>6390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Otepka Lubomír</dc:creator>
  <cp:keywords/>
  <dc:description/>
  <cp:lastModifiedBy>Procházka František</cp:lastModifiedBy>
  <cp:revision>8</cp:revision>
  <cp:lastPrinted>2021-05-21T11:33:00Z</cp:lastPrinted>
  <dcterms:created xsi:type="dcterms:W3CDTF">2020-04-16T16:01:00Z</dcterms:created>
  <dcterms:modified xsi:type="dcterms:W3CDTF">2021-05-21T11:45:00Z</dcterms:modified>
</cp:coreProperties>
</file>