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2D1F77C6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79385B" w:rsidRPr="0079385B">
        <w:t>Metropolitný inštitút Bratislavy</w:t>
      </w:r>
    </w:p>
    <w:p w14:paraId="46E3C833" w14:textId="54162CE1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B8184E" w:rsidRPr="00B90E9B">
        <w:t>Primaciálne námestie 429/1, Bratislava - Staré Mesto, 81</w:t>
      </w:r>
      <w:r w:rsidR="00B8184E">
        <w:t xml:space="preserve"> </w:t>
      </w:r>
      <w:r w:rsidR="00B8184E" w:rsidRPr="00B90E9B">
        <w:t>499</w:t>
      </w:r>
    </w:p>
    <w:p w14:paraId="2B842911" w14:textId="4D3CAB94" w:rsidR="00F44E93" w:rsidRPr="002F7D88" w:rsidRDefault="00723496" w:rsidP="00636365">
      <w:pPr>
        <w:jc w:val="both"/>
      </w:pPr>
      <w:r>
        <w:t>Štatutárny orgán:</w:t>
      </w:r>
      <w:r w:rsidR="00F44E93" w:rsidRPr="002F7D88">
        <w:tab/>
      </w:r>
      <w:r w:rsidR="00F44E93" w:rsidRPr="002F7D88">
        <w:tab/>
      </w:r>
      <w:r w:rsidR="000627E2">
        <w:t>Mgr. Ján Mazúr, PhD., riaditeľ</w:t>
      </w:r>
    </w:p>
    <w:p w14:paraId="0828312B" w14:textId="6D3ACDB9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3944DE" w:rsidRPr="00B90E9B">
        <w:t>52324940</w:t>
      </w:r>
    </w:p>
    <w:p w14:paraId="08F2F6BF" w14:textId="3F4EE9C2" w:rsidR="00F44E93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0405EC7" w14:textId="2E8AF1C1" w:rsidR="00723496" w:rsidRPr="002F7D88" w:rsidRDefault="00656B60" w:rsidP="00F379F6">
      <w:pPr>
        <w:ind w:left="2835" w:hanging="2835"/>
        <w:jc w:val="both"/>
      </w:pPr>
      <w:r>
        <w:t>Zastúpený</w:t>
      </w:r>
      <w:r w:rsidR="00723496" w:rsidRPr="002F7D88">
        <w:t>:</w:t>
      </w:r>
      <w:r w:rsidR="00723496">
        <w:tab/>
      </w:r>
      <w:r w:rsidR="003944DE">
        <w:t>Mgr. Ján Mazúr, PhD., riaditeľ</w:t>
      </w:r>
    </w:p>
    <w:p w14:paraId="6BF0B2BC" w14:textId="190DBE6C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23694877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F077137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96118C">
        <w:t>1</w:t>
      </w:r>
      <w:r w:rsidR="003944DE">
        <w:t>5</w:t>
      </w:r>
      <w:r w:rsidR="00AF3F5D" w:rsidRPr="002F21EB">
        <w:t xml:space="preserve"> – „</w:t>
      </w:r>
      <w:r w:rsidR="00054EE3">
        <w:rPr>
          <w:b/>
        </w:rPr>
        <w:t>Interiérové vybavenie</w:t>
      </w:r>
      <w:r w:rsidR="003944DE">
        <w:rPr>
          <w:b/>
        </w:rPr>
        <w:t xml:space="preserve"> pre MIB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51A6BAC3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96118C">
        <w:t>1</w:t>
      </w:r>
      <w:r w:rsidR="003944DE">
        <w:t>5</w:t>
      </w:r>
      <w:r w:rsidR="00E17BF5" w:rsidRPr="001764A9">
        <w:t xml:space="preserve"> – „</w:t>
      </w:r>
      <w:r w:rsidR="00054EE3">
        <w:rPr>
          <w:b/>
          <w:bCs/>
        </w:rPr>
        <w:t>Interiérov</w:t>
      </w:r>
      <w:r w:rsidR="00036060">
        <w:rPr>
          <w:b/>
          <w:bCs/>
        </w:rPr>
        <w:t>é vybavenie</w:t>
      </w:r>
      <w:r w:rsidR="001D7AC0">
        <w:rPr>
          <w:b/>
          <w:bCs/>
        </w:rPr>
        <w:t xml:space="preserve"> pre MIB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>na miesto plnenia</w:t>
      </w:r>
      <w:r w:rsidR="001D7AC0">
        <w:t xml:space="preserve">, </w:t>
      </w:r>
      <w:r w:rsidR="00E75A35">
        <w:t xml:space="preserve">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09AFC9C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25333A" w:rsidRPr="0025333A">
        <w:rPr>
          <w:rFonts w:eastAsia="Calibri"/>
          <w:b/>
          <w:bCs/>
        </w:rPr>
        <w:t>kancelárske stoly, lišty na káble, stoličky do kancelárie a uzamykateľné kontajnery ku kancelárskym stolom</w:t>
      </w:r>
      <w:r w:rsidR="00004CD7" w:rsidRPr="002F7D88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BB23E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D65B2E">
        <w:rPr>
          <w:b/>
          <w:bCs/>
        </w:rPr>
        <w:t>do</w:t>
      </w:r>
      <w:r w:rsidR="00322A62">
        <w:rPr>
          <w:b/>
          <w:bCs/>
        </w:rPr>
        <w:t xml:space="preserve"> </w:t>
      </w:r>
      <w:r w:rsidR="000C2FCA">
        <w:rPr>
          <w:b/>
          <w:bCs/>
        </w:rPr>
        <w:t xml:space="preserve">30 </w:t>
      </w:r>
      <w:r w:rsidR="00D65B2E">
        <w:rPr>
          <w:b/>
          <w:bCs/>
        </w:rPr>
        <w:t>dní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1627A8BA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</w:t>
      </w:r>
      <w:r w:rsidR="00F0133F">
        <w:t xml:space="preserve">je </w:t>
      </w:r>
      <w:r w:rsidR="00861EE9" w:rsidRPr="00861EE9">
        <w:t>Metropolitný inštitút Bratislavy, Ventúrska 22, 814 99 Bratislava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6AA4DF64" w14:textId="77777777" w:rsidR="00FD524F" w:rsidRPr="00576345" w:rsidRDefault="00FD524F" w:rsidP="00FD524F">
      <w:pPr>
        <w:pStyle w:val="Odsekzoznamu"/>
      </w:pPr>
    </w:p>
    <w:p w14:paraId="22BDE91E" w14:textId="51877D67" w:rsidR="00FD524F" w:rsidRPr="0057634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576345">
        <w:t xml:space="preserve">Kupujúci si vyhradzuje právo vrátiť nepoškodený tovar v pôvodných obaloch do 14 dní od prevzatia tovaru ak zistí, že dodaný tovar nespĺňa ktorúkoľvek </w:t>
      </w:r>
      <w:r w:rsidR="001C3038" w:rsidRPr="00576345">
        <w:t>z</w:t>
      </w:r>
      <w:r w:rsidR="00657597" w:rsidRPr="00576345">
        <w:t> </w:t>
      </w:r>
      <w:r w:rsidRPr="00576345">
        <w:t>požadovan</w:t>
      </w:r>
      <w:r w:rsidR="001C3038" w:rsidRPr="00576345">
        <w:t>ých</w:t>
      </w:r>
      <w:r w:rsidRPr="00576345">
        <w:t xml:space="preserve"> technick</w:t>
      </w:r>
      <w:r w:rsidR="001C3038" w:rsidRPr="00576345">
        <w:t>ých</w:t>
      </w:r>
      <w:r w:rsidRPr="00576345">
        <w:t xml:space="preserve"> špecifikáci</w:t>
      </w:r>
      <w:r w:rsidR="001C3038" w:rsidRPr="00576345">
        <w:t>í</w:t>
      </w:r>
      <w:r w:rsidRPr="00576345">
        <w:t xml:space="preserve"> vyžadovan</w:t>
      </w:r>
      <w:r w:rsidR="001C3038" w:rsidRPr="00576345">
        <w:t>ých</w:t>
      </w:r>
      <w:r w:rsidRPr="00576345">
        <w:t xml:space="preserve"> </w:t>
      </w:r>
      <w:r w:rsidR="008103AE" w:rsidRPr="00576345">
        <w:t>k</w:t>
      </w:r>
      <w:r w:rsidRPr="00576345">
        <w:t>upujúcim alebo nespĺňa osobitné požiadavky na plnenie.</w:t>
      </w:r>
    </w:p>
    <w:p w14:paraId="1E907A42" w14:textId="5B22C8E5" w:rsidR="00CE4A6F" w:rsidRPr="00ED7F3E" w:rsidRDefault="00CE4A6F" w:rsidP="00636365">
      <w:pPr>
        <w:pStyle w:val="Odsekzoznamu"/>
        <w:ind w:left="567"/>
        <w:jc w:val="both"/>
      </w:pPr>
    </w:p>
    <w:p w14:paraId="6081DC78" w14:textId="06893601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>ávodom na použitie (v slovenskom alebo v českom jazyku)</w:t>
      </w:r>
      <w:r w:rsidR="00314C86" w:rsidRPr="00ED7F3E">
        <w:t xml:space="preserve">, </w:t>
      </w:r>
      <w:r w:rsidR="00ED7F3E" w:rsidRPr="00ED7F3E">
        <w:t>záručný list</w:t>
      </w:r>
      <w:r w:rsidR="008A23EE">
        <w:t xml:space="preserve"> 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4835EB9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 xml:space="preserve">Technická špecifikácia predmetu </w:t>
      </w:r>
      <w:r w:rsidR="00D92ABC">
        <w:rPr>
          <w:rStyle w:val="CharStyle15"/>
        </w:rPr>
        <w:t>zmluvy</w:t>
      </w:r>
    </w:p>
    <w:p w14:paraId="1A756D9D" w14:textId="4BE0F926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2D821938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676A272D" w14:textId="7FAE1E1C" w:rsidR="002B650B" w:rsidRPr="00510762" w:rsidRDefault="00D92ABC" w:rsidP="00510762">
      <w:pPr>
        <w:jc w:val="center"/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</w:pPr>
      <w:bookmarkStart w:id="3" w:name="_Hlk50386851"/>
      <w:bookmarkStart w:id="4" w:name="_Hlk50386774"/>
      <w:bookmarkEnd w:id="2"/>
      <w:r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  <w:t>TECHNICKÁ ŠPECIFIKÁCIA PREDMETU ZMLUVY</w:t>
      </w:r>
    </w:p>
    <w:p w14:paraId="6E6DE161" w14:textId="77777777" w:rsidR="002B650B" w:rsidRDefault="002B650B" w:rsidP="002B650B">
      <w:pPr>
        <w:jc w:val="both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8"/>
        <w:gridCol w:w="6350"/>
      </w:tblGrid>
      <w:tr w:rsidR="00F7590C" w:rsidRPr="008638F2" w14:paraId="71B6A230" w14:textId="77777777" w:rsidTr="008D6B92">
        <w:trPr>
          <w:trHeight w:val="35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128CF6" w14:textId="77777777" w:rsidR="00F7590C" w:rsidRPr="00D26E22" w:rsidRDefault="00F7590C" w:rsidP="00F7590C">
            <w:pPr>
              <w:pStyle w:val="Odsekzoznamu"/>
              <w:numPr>
                <w:ilvl w:val="0"/>
                <w:numId w:val="29"/>
              </w:numPr>
              <w:contextualSpacing w:val="0"/>
              <w:rPr>
                <w:sz w:val="22"/>
              </w:rPr>
            </w:pPr>
            <w:bookmarkStart w:id="5" w:name="_Hlk50611281"/>
            <w:r w:rsidRPr="00182727">
              <w:rPr>
                <w:b/>
                <w:bCs/>
                <w:color w:val="000000"/>
                <w:sz w:val="22"/>
              </w:rPr>
              <w:t>Kancelársky stôl</w:t>
            </w:r>
            <w:r>
              <w:rPr>
                <w:b/>
                <w:bCs/>
                <w:color w:val="000000"/>
                <w:sz w:val="22"/>
              </w:rPr>
              <w:t xml:space="preserve"> – 18 ks</w:t>
            </w:r>
          </w:p>
        </w:tc>
      </w:tr>
      <w:tr w:rsidR="00F7590C" w:rsidRPr="008638F2" w14:paraId="1612EBEF" w14:textId="77777777" w:rsidTr="008D6B92">
        <w:tblPrEx>
          <w:tblCellMar>
            <w:left w:w="70" w:type="dxa"/>
            <w:right w:w="70" w:type="dxa"/>
          </w:tblCellMar>
        </w:tblPrEx>
        <w:trPr>
          <w:trHeight w:val="185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1010" w14:textId="77777777" w:rsidR="00F7590C" w:rsidRPr="005A3C8B" w:rsidRDefault="00F7590C" w:rsidP="008D6B92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9FCC4" w14:textId="77777777" w:rsidR="00F7590C" w:rsidRPr="005A3C8B" w:rsidRDefault="00F7590C" w:rsidP="008D6B92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A531358" wp14:editId="0019C534">
                  <wp:extent cx="2495550" cy="2051089"/>
                  <wp:effectExtent l="0" t="0" r="0" b="6350"/>
                  <wp:docPr id="34" name="Obrázok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D2BD41-5229-4A92-98E2-7DDDC88ABE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ázok 33">
                            <a:extLst>
                              <a:ext uri="{FF2B5EF4-FFF2-40B4-BE49-F238E27FC236}">
                                <a16:creationId xmlns:a16="http://schemas.microsoft.com/office/drawing/2014/main" id="{D6D2BD41-5229-4A92-98E2-7DDDC88ABE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05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F7590C" w:rsidRPr="008638F2" w14:paraId="267EE9D7" w14:textId="77777777" w:rsidTr="008D6B92">
        <w:trPr>
          <w:trHeight w:val="1032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F1E5B2" w14:textId="77777777" w:rsidR="00F7590C" w:rsidRPr="005A3C8B" w:rsidRDefault="00F7590C" w:rsidP="008D6B92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05CE81" w14:textId="77777777" w:rsidR="00F7590C" w:rsidRPr="00481DE0" w:rsidRDefault="00F7590C" w:rsidP="008D6B92">
            <w:pPr>
              <w:jc w:val="both"/>
              <w:rPr>
                <w:color w:val="000000"/>
              </w:rPr>
            </w:pPr>
            <w:r w:rsidRPr="00481DE0">
              <w:rPr>
                <w:b/>
                <w:bCs/>
                <w:color w:val="000000"/>
              </w:rPr>
              <w:t xml:space="preserve">Rozmery </w:t>
            </w:r>
            <w:r w:rsidRPr="00481DE0">
              <w:rPr>
                <w:color w:val="000000"/>
              </w:rPr>
              <w:t xml:space="preserve">– </w:t>
            </w:r>
            <w:r w:rsidRPr="00481DE0">
              <w:t>70 - 72 x 140 - 144 x 73 -75 cm  ( šírka, dĺžka, výška), pomer strán stolovej dosky musí byť vždy v pomere 1:2, šírka/dĺžka,  tak, aby bolo možné stoly modulovo skladať</w:t>
            </w:r>
          </w:p>
          <w:p w14:paraId="66D019FB" w14:textId="77777777" w:rsidR="00F7590C" w:rsidRPr="00481DE0" w:rsidRDefault="00F7590C" w:rsidP="008D6B92">
            <w:pPr>
              <w:jc w:val="both"/>
              <w:rPr>
                <w:b/>
                <w:bCs/>
                <w:color w:val="000000"/>
              </w:rPr>
            </w:pPr>
            <w:r w:rsidRPr="00481DE0">
              <w:rPr>
                <w:b/>
                <w:bCs/>
                <w:color w:val="000000"/>
              </w:rPr>
              <w:t xml:space="preserve">Stolová doska - </w:t>
            </w:r>
            <w:r w:rsidRPr="00481DE0">
              <w:rPr>
                <w:color w:val="000000"/>
              </w:rPr>
              <w:t xml:space="preserve">W980 Platinová Biela ST2 Smoothtouch Pear, 18mm, ABS 2 , biela štruktúrovaná laminovaná drevotrieska </w:t>
            </w:r>
          </w:p>
          <w:p w14:paraId="58819A55" w14:textId="77777777" w:rsidR="00F7590C" w:rsidRPr="00481DE0" w:rsidRDefault="00F7590C" w:rsidP="008D6B92">
            <w:pPr>
              <w:jc w:val="both"/>
            </w:pPr>
            <w:r w:rsidRPr="00481DE0">
              <w:rPr>
                <w:b/>
                <w:bCs/>
                <w:color w:val="000000"/>
              </w:rPr>
              <w:t xml:space="preserve">Podnož </w:t>
            </w:r>
            <w:r w:rsidRPr="00481DE0">
              <w:rPr>
                <w:color w:val="000000"/>
              </w:rPr>
              <w:t xml:space="preserve">- </w:t>
            </w:r>
            <w:r w:rsidRPr="00481DE0">
              <w:t>Povrchová úprava práškovaním, farba biela,  odtieň podľa špecifikácie RAL 9003</w:t>
            </w:r>
          </w:p>
          <w:p w14:paraId="7F0A9B26" w14:textId="77777777" w:rsidR="00F7590C" w:rsidRPr="00481DE0" w:rsidRDefault="00F7590C" w:rsidP="008D6B92">
            <w:pPr>
              <w:jc w:val="both"/>
            </w:pPr>
            <w:r w:rsidRPr="00481DE0">
              <w:rPr>
                <w:b/>
                <w:bCs/>
                <w:color w:val="000000"/>
              </w:rPr>
              <w:t xml:space="preserve">Poznámka - </w:t>
            </w:r>
            <w:r w:rsidRPr="00481DE0">
              <w:t>Kovová konštrukcia s vertikálami bez sklonu, štvorcového prierezu 50mm a horizontály o priereze  50x25mm, priečna kovová časť o priereze 50x25mm.</w:t>
            </w:r>
          </w:p>
          <w:p w14:paraId="54EEECB3" w14:textId="77777777" w:rsidR="00F7590C" w:rsidRPr="00481DE0" w:rsidRDefault="00F7590C" w:rsidP="008D6B92">
            <w:pPr>
              <w:jc w:val="both"/>
              <w:rPr>
                <w:color w:val="000000"/>
              </w:rPr>
            </w:pPr>
            <w:r w:rsidRPr="00481DE0">
              <w:rPr>
                <w:b/>
                <w:bCs/>
              </w:rPr>
              <w:t xml:space="preserve">Priechodka -  </w:t>
            </w:r>
            <w:r w:rsidRPr="00481DE0">
              <w:t>Á</w:t>
            </w:r>
            <w:r w:rsidRPr="00481DE0">
              <w:rPr>
                <w:color w:val="000000"/>
              </w:rPr>
              <w:t>no, obdĺžnikový tvar s krytím a medzerou na prestrčenie káblov, vyrobená z kovu alebo plastu s rozmermi 8x8x1,8 cm až 10X10x1,8 cm.</w:t>
            </w:r>
          </w:p>
          <w:p w14:paraId="6CFB7E71" w14:textId="77777777" w:rsidR="00F7590C" w:rsidRPr="00481DE0" w:rsidRDefault="00F7590C" w:rsidP="008D6B92">
            <w:pPr>
              <w:jc w:val="both"/>
              <w:rPr>
                <w:b/>
                <w:bCs/>
                <w:color w:val="000000"/>
              </w:rPr>
            </w:pPr>
            <w:r w:rsidRPr="00481DE0">
              <w:rPr>
                <w:b/>
                <w:bCs/>
                <w:color w:val="000000"/>
              </w:rPr>
              <w:t xml:space="preserve">Popis - </w:t>
            </w:r>
            <w:r w:rsidRPr="00481DE0">
              <w:rPr>
                <w:color w:val="000000"/>
              </w:rPr>
              <w:t>Jednoduchý písací kancelársky stôl.  Jednoduchý rám v tvare U. Jednoduchá konštrukcia, má minimalistický dizajn, praktická pre pracovné prostredie ,vytvára jednoduchý a svojrázny priestor. Stolová doska je odsadená od konštrukcie stola, tá je spevnená priečnou konštrukciou.  Obrázok slúži ako referencia. Parametre sú záväzné.</w:t>
            </w:r>
            <w:r w:rsidRPr="00481DE0">
              <w:rPr>
                <w:b/>
                <w:bCs/>
                <w:color w:val="000000"/>
              </w:rPr>
              <w:t xml:space="preserve">    </w:t>
            </w:r>
          </w:p>
          <w:p w14:paraId="072EB914" w14:textId="77777777" w:rsidR="00F7590C" w:rsidRPr="00481DE0" w:rsidRDefault="00F7590C" w:rsidP="008D6B92">
            <w:pPr>
              <w:jc w:val="both"/>
              <w:rPr>
                <w:sz w:val="22"/>
              </w:rPr>
            </w:pPr>
            <w:r w:rsidRPr="00481DE0">
              <w:t>Opis spĺňajú produkty ako: R+ Better I single table, Narbutas Nova U,  Balma N4 alebo ekvivalent</w:t>
            </w:r>
          </w:p>
        </w:tc>
      </w:tr>
      <w:tr w:rsidR="00F7590C" w:rsidRPr="008638F2" w14:paraId="6D055BFD" w14:textId="77777777" w:rsidTr="008D6B92">
        <w:tc>
          <w:tcPr>
            <w:tcW w:w="96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DB212" w14:textId="77777777" w:rsidR="00F7590C" w:rsidRPr="006565B5" w:rsidRDefault="00F7590C" w:rsidP="008D6B92">
            <w:pPr>
              <w:rPr>
                <w:b/>
                <w:bCs/>
                <w:sz w:val="22"/>
              </w:rPr>
            </w:pPr>
          </w:p>
        </w:tc>
      </w:tr>
      <w:tr w:rsidR="00F7590C" w:rsidRPr="008638F2" w14:paraId="7D876117" w14:textId="77777777" w:rsidTr="008D6B92">
        <w:trPr>
          <w:trHeight w:val="39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1A6F811" w14:textId="77777777" w:rsidR="00F7590C" w:rsidRPr="00154495" w:rsidRDefault="00F7590C" w:rsidP="00F7590C">
            <w:pPr>
              <w:pStyle w:val="Odsekzoznamu"/>
              <w:numPr>
                <w:ilvl w:val="0"/>
                <w:numId w:val="29"/>
              </w:numPr>
              <w:contextualSpacing w:val="0"/>
              <w:rPr>
                <w:b/>
                <w:bCs/>
                <w:sz w:val="22"/>
              </w:rPr>
            </w:pPr>
            <w:r w:rsidRPr="00262607">
              <w:rPr>
                <w:b/>
                <w:bCs/>
                <w:sz w:val="22"/>
              </w:rPr>
              <w:t>Lišta na káble</w:t>
            </w:r>
            <w:r>
              <w:rPr>
                <w:b/>
                <w:bCs/>
                <w:sz w:val="22"/>
              </w:rPr>
              <w:t xml:space="preserve"> – 18 ks</w:t>
            </w:r>
          </w:p>
        </w:tc>
      </w:tr>
      <w:tr w:rsidR="00F7590C" w:rsidRPr="008638F2" w14:paraId="3A3B8F7F" w14:textId="77777777" w:rsidTr="008D6B92">
        <w:tblPrEx>
          <w:tblCellMar>
            <w:left w:w="70" w:type="dxa"/>
            <w:right w:w="70" w:type="dxa"/>
          </w:tblCellMar>
        </w:tblPrEx>
        <w:trPr>
          <w:trHeight w:val="1909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30C" w14:textId="77777777" w:rsidR="00F7590C" w:rsidRPr="005A3C8B" w:rsidRDefault="00F7590C" w:rsidP="008D6B92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 w:rsidRPr="00481DE0">
              <w:rPr>
                <w:b/>
                <w:bCs/>
                <w:noProof/>
              </w:rPr>
              <w:t>znázornenie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FD3C2" w14:textId="77777777" w:rsidR="00F7590C" w:rsidRPr="00125C62" w:rsidRDefault="00F7590C" w:rsidP="008D6B92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7AF1223" wp14:editId="1257B60A">
                  <wp:extent cx="2553418" cy="1615699"/>
                  <wp:effectExtent l="0" t="0" r="0" b="3810"/>
                  <wp:docPr id="38" name="Obrázok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15F550-B007-4CA6-84D8-5B3031388B9F}"/>
                      </a:ext>
                      <a:ext uri="{147F2762-F138-4A5C-976F-8EAC2B608ADB}">
                        <a16:predDERef xmlns:a16="http://schemas.microsoft.com/office/drawing/2014/main" pred="{B2FD0CE8-DF7A-4CFD-A071-35D53E7C25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ázok 37">
                            <a:extLst>
                              <a:ext uri="{FF2B5EF4-FFF2-40B4-BE49-F238E27FC236}">
                                <a16:creationId xmlns:a16="http://schemas.microsoft.com/office/drawing/2014/main" id="{5D15F550-B007-4CA6-84D8-5B3031388B9F}"/>
                              </a:ext>
                              <a:ext uri="{147F2762-F138-4A5C-976F-8EAC2B608ADB}">
                                <a16:predDERef xmlns:a16="http://schemas.microsoft.com/office/drawing/2014/main" pred="{B2FD0CE8-DF7A-4CFD-A071-35D53E7C25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480" cy="1623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90C" w:rsidRPr="008638F2" w14:paraId="5348F35A" w14:textId="77777777" w:rsidTr="008D6B92">
        <w:trPr>
          <w:trHeight w:val="779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FCC2B2" w14:textId="77777777" w:rsidR="00F7590C" w:rsidRPr="005A3C8B" w:rsidRDefault="00F7590C" w:rsidP="008D6B92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Špecifikácia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C5EC0D" w14:textId="77777777" w:rsidR="00F7590C" w:rsidRPr="00315FCD" w:rsidRDefault="00F7590C" w:rsidP="008D6B92">
            <w:pPr>
              <w:jc w:val="both"/>
              <w:rPr>
                <w:color w:val="000000"/>
              </w:rPr>
            </w:pPr>
            <w:r w:rsidRPr="00315FCD">
              <w:rPr>
                <w:b/>
                <w:bCs/>
                <w:color w:val="000000"/>
              </w:rPr>
              <w:t xml:space="preserve">Rozmery - </w:t>
            </w:r>
            <w:r w:rsidRPr="00315FCD">
              <w:t>1050-1100 x 80-85 x 80-85 mm alebo ekvivalent  ( šírka, dĺžka, výška)</w:t>
            </w:r>
          </w:p>
          <w:p w14:paraId="13FD69D8" w14:textId="77777777" w:rsidR="00F7590C" w:rsidRPr="00315FCD" w:rsidRDefault="00F7590C" w:rsidP="008D6B92">
            <w:pPr>
              <w:jc w:val="both"/>
            </w:pPr>
            <w:r w:rsidRPr="00315FCD">
              <w:rPr>
                <w:b/>
                <w:bCs/>
                <w:color w:val="000000"/>
              </w:rPr>
              <w:t xml:space="preserve">Farba -  </w:t>
            </w:r>
            <w:r w:rsidRPr="00315FCD">
              <w:t>Povrchová úprava práškovaním , biela</w:t>
            </w:r>
          </w:p>
          <w:p w14:paraId="7BD24301" w14:textId="77777777" w:rsidR="00F7590C" w:rsidRPr="00315FCD" w:rsidRDefault="00F7590C" w:rsidP="008D6B92">
            <w:pPr>
              <w:jc w:val="both"/>
            </w:pPr>
            <w:r w:rsidRPr="00315FCD">
              <w:rPr>
                <w:b/>
                <w:bCs/>
                <w:color w:val="000000"/>
              </w:rPr>
              <w:t xml:space="preserve">Popis - </w:t>
            </w:r>
            <w:r w:rsidRPr="00315FCD">
              <w:t xml:space="preserve">Kanálová lišta  na káble,  montovaná na spodnej strane stolovej dosky. Obrázok slúži ako referencia. Parametre sú záväzné.    </w:t>
            </w:r>
          </w:p>
          <w:p w14:paraId="4C617EC4" w14:textId="77777777" w:rsidR="00F7590C" w:rsidRPr="00481DE0" w:rsidRDefault="00F7590C" w:rsidP="008D6B92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315FCD">
              <w:t>Produkt musí byť kompatibilný s typom a rozmermi kancelárskych stolov  v položke č. 1.</w:t>
            </w:r>
          </w:p>
        </w:tc>
      </w:tr>
      <w:tr w:rsidR="00F7590C" w:rsidRPr="008638F2" w14:paraId="6BBC6491" w14:textId="77777777" w:rsidTr="008D6B92">
        <w:trPr>
          <w:trHeight w:val="414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ACAED8" w14:textId="77777777" w:rsidR="00F7590C" w:rsidRPr="00C81637" w:rsidRDefault="00F7590C" w:rsidP="00F7590C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b/>
                <w:bCs/>
                <w:color w:val="000000"/>
              </w:rPr>
            </w:pPr>
            <w:r w:rsidRPr="0092456D">
              <w:rPr>
                <w:b/>
                <w:bCs/>
                <w:color w:val="000000"/>
              </w:rPr>
              <w:t xml:space="preserve">Pracovná stolička </w:t>
            </w:r>
            <w:r>
              <w:rPr>
                <w:b/>
                <w:bCs/>
                <w:color w:val="000000"/>
              </w:rPr>
              <w:t>do k</w:t>
            </w:r>
            <w:r w:rsidRPr="0092456D">
              <w:rPr>
                <w:b/>
                <w:bCs/>
                <w:color w:val="000000"/>
              </w:rPr>
              <w:t>ancelárie</w:t>
            </w:r>
            <w:r>
              <w:rPr>
                <w:b/>
                <w:bCs/>
                <w:color w:val="000000"/>
              </w:rPr>
              <w:t xml:space="preserve"> – 21 ks</w:t>
            </w:r>
          </w:p>
        </w:tc>
      </w:tr>
      <w:tr w:rsidR="00F7590C" w:rsidRPr="008638F2" w14:paraId="196560C9" w14:textId="77777777" w:rsidTr="008D6B92">
        <w:tblPrEx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EF2F" w14:textId="77777777" w:rsidR="00F7590C" w:rsidRDefault="00F7590C" w:rsidP="008D6B9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 w:rsidRPr="00CB690F">
              <w:rPr>
                <w:b/>
                <w:bCs/>
                <w:noProof/>
              </w:rPr>
              <w:t>znázornenie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6B61D" w14:textId="77777777" w:rsidR="00F7590C" w:rsidRPr="006D7388" w:rsidRDefault="00F7590C" w:rsidP="008D6B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9EF5F58" wp14:editId="7F299845">
                  <wp:extent cx="1918457" cy="2762579"/>
                  <wp:effectExtent l="0" t="0" r="5715" b="0"/>
                  <wp:docPr id="618" name="Obrázok 4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D4A1FF-C328-4792-B1D0-68D74FEEF54C}"/>
                      </a:ext>
                      <a:ext uri="{147F2762-F138-4A5C-976F-8EAC2B608ADB}">
                        <a16:predDERef xmlns:a16="http://schemas.microsoft.com/office/drawing/2014/main" pred="{106815D2-297A-471D-A5A7-C498B348FE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Obrázok 496">
                            <a:extLst>
                              <a:ext uri="{FF2B5EF4-FFF2-40B4-BE49-F238E27FC236}">
                                <a16:creationId xmlns:a16="http://schemas.microsoft.com/office/drawing/2014/main" id="{53D4A1FF-C328-4792-B1D0-68D74FEEF54C}"/>
                              </a:ext>
                              <a:ext uri="{147F2762-F138-4A5C-976F-8EAC2B608ADB}">
                                <a16:predDERef xmlns:a16="http://schemas.microsoft.com/office/drawing/2014/main" pred="{106815D2-297A-471D-A5A7-C498B348FE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457" cy="276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C37F15" wp14:editId="5BEF37BF">
                  <wp:extent cx="1828800" cy="2552700"/>
                  <wp:effectExtent l="0" t="0" r="0" b="0"/>
                  <wp:docPr id="619" name="Obrázok 4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8A7427-FFB8-446C-B357-1C3A0D4B9518}"/>
                      </a:ext>
                      <a:ext uri="{147F2762-F138-4A5C-976F-8EAC2B608ADB}">
                        <a16:predDERef xmlns:a16="http://schemas.microsoft.com/office/drawing/2014/main" pred="{53D4A1FF-C328-4792-B1D0-68D74FEEF5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Obrázok 497">
                            <a:extLst>
                              <a:ext uri="{FF2B5EF4-FFF2-40B4-BE49-F238E27FC236}">
                                <a16:creationId xmlns:a16="http://schemas.microsoft.com/office/drawing/2014/main" id="{598A7427-FFB8-446C-B357-1C3A0D4B9518}"/>
                              </a:ext>
                              <a:ext uri="{147F2762-F138-4A5C-976F-8EAC2B608ADB}">
                                <a16:predDERef xmlns:a16="http://schemas.microsoft.com/office/drawing/2014/main" pred="{53D4A1FF-C328-4792-B1D0-68D74FEEF5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90C" w:rsidRPr="008638F2" w14:paraId="1E544808" w14:textId="77777777" w:rsidTr="008D6B92">
        <w:trPr>
          <w:trHeight w:val="414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C839" w14:textId="77777777" w:rsidR="00F7590C" w:rsidRDefault="00F7590C" w:rsidP="008D6B9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Špecifikácia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41E4E" w14:textId="77777777" w:rsidR="00F7590C" w:rsidRPr="00CB690F" w:rsidRDefault="00F7590C" w:rsidP="008D6B92">
            <w:pPr>
              <w:rPr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Povrchový materiál – </w:t>
            </w:r>
            <w:r w:rsidRPr="00CB690F">
              <w:rPr>
                <w:color w:val="000000"/>
              </w:rPr>
              <w:t>100 % Polyester,  ≥100,000 odolnosť voči oderu, ohňovzdornosť (California Technical Bulletin 117 - 2013,NFPA 260 + UFAC Class 1,BS 7176 Low Hazard, ASTM E84 Class 1 or A (Adhered), ASTM E84 Class 1 or A). Tieto  požiadavky spĺňa napr. ERA- Camira alebo ekvivalent</w:t>
            </w:r>
          </w:p>
          <w:p w14:paraId="0D5B69E2" w14:textId="77777777" w:rsidR="00F7590C" w:rsidRPr="00CB690F" w:rsidRDefault="00F7590C" w:rsidP="008D6B92">
            <w:r w:rsidRPr="00CB690F">
              <w:rPr>
                <w:b/>
                <w:bCs/>
                <w:color w:val="000000"/>
              </w:rPr>
              <w:t xml:space="preserve">Farba poťahu sedadla - </w:t>
            </w:r>
            <w:r w:rsidRPr="00CB690F">
              <w:t xml:space="preserve">tmavosivá ERA CSE 11 alebo ekvivalent </w:t>
            </w:r>
          </w:p>
          <w:p w14:paraId="06F9CAE3" w14:textId="77777777" w:rsidR="00F7590C" w:rsidRPr="00CB690F" w:rsidRDefault="00F7590C" w:rsidP="008D6B92">
            <w:r w:rsidRPr="00CB690F">
              <w:rPr>
                <w:b/>
                <w:bCs/>
                <w:color w:val="000000"/>
              </w:rPr>
              <w:t xml:space="preserve">Farba poťahu operadla - </w:t>
            </w:r>
            <w:r w:rsidRPr="00CB690F">
              <w:t>priehľadná priedušná textília s nízkou hustotou-umelé vlákno (tieto požiadavky spĺňa napr. WEBNARE 8148  alebo ekvivalent)</w:t>
            </w:r>
          </w:p>
          <w:p w14:paraId="37E91A64" w14:textId="77777777" w:rsidR="00F7590C" w:rsidRPr="00CB690F" w:rsidRDefault="00F7590C" w:rsidP="008D6B92">
            <w:r w:rsidRPr="00CB690F">
              <w:rPr>
                <w:b/>
                <w:bCs/>
                <w:color w:val="000000"/>
              </w:rPr>
              <w:t xml:space="preserve">Funkcie -  </w:t>
            </w:r>
            <w:r w:rsidRPr="00CB690F">
              <w:t>nastaviteľná hĺbka sedenia a opora v krížovej-driekovej časti chrbtice – prehnutá</w:t>
            </w:r>
          </w:p>
          <w:p w14:paraId="04A64373" w14:textId="77777777" w:rsidR="00F7590C" w:rsidRPr="00CB690F" w:rsidRDefault="00F7590C" w:rsidP="008D6B92">
            <w:pPr>
              <w:rPr>
                <w:b/>
                <w:bCs/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Podrúčky - </w:t>
            </w:r>
            <w:r w:rsidRPr="00CB690F">
              <w:t xml:space="preserve">nastaviteľné vertikálne aj horizontálne </w:t>
            </w:r>
          </w:p>
          <w:p w14:paraId="79765370" w14:textId="77777777" w:rsidR="00F7590C" w:rsidRPr="00CB690F" w:rsidRDefault="00F7590C" w:rsidP="008D6B92">
            <w:pPr>
              <w:rPr>
                <w:b/>
                <w:bCs/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Podnož - </w:t>
            </w:r>
            <w:r w:rsidRPr="00CB690F">
              <w:t xml:space="preserve">5-cípa konštrukcia čiernej  farby alebo kovová,  ekvivalent možný, </w:t>
            </w:r>
          </w:p>
          <w:p w14:paraId="4B6BE686" w14:textId="77777777" w:rsidR="00F7590C" w:rsidRPr="00CB690F" w:rsidRDefault="00F7590C" w:rsidP="008D6B92">
            <w:r w:rsidRPr="00CB690F">
              <w:t xml:space="preserve">kolieska na drevenú podlahu čierne </w:t>
            </w:r>
          </w:p>
          <w:p w14:paraId="05777FD2" w14:textId="77777777" w:rsidR="00F7590C" w:rsidRPr="00CB690F" w:rsidRDefault="00F7590C" w:rsidP="008D6B92">
            <w:pPr>
              <w:rPr>
                <w:b/>
                <w:bCs/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Popis - </w:t>
            </w:r>
            <w:r w:rsidRPr="00CB690F">
              <w:rPr>
                <w:color w:val="000000"/>
              </w:rPr>
              <w:t>Kancelárska stolička - funkčná a dizajnová. Čierne operadlo, v čistých líniách, je potiahnuté tenkou priedušnou sieťkou, ktorá prispieva k vynikajúcim ergonomickým vlastnostiam stoličky. Komfort pri sedení môže byť podporený oporou v driekovej/bedrovej časti, nastaviteľnej hĺbky sedacej časti, sklonu sedadla, nastaviteľných podrúčkach vo vertikálnom a horizontálnom  smere. Výškovo nastaviteľné sedadlo. Obrázok slúži ako referencia. Parametre sú záväzné. Konštrukcia stoličky je čierna, poťahy sú svetlo a tmavosivé.</w:t>
            </w:r>
          </w:p>
          <w:p w14:paraId="546F464C" w14:textId="77777777" w:rsidR="00F7590C" w:rsidRPr="00CB690F" w:rsidRDefault="00F7590C" w:rsidP="008D6B92">
            <w:pPr>
              <w:rPr>
                <w:b/>
                <w:bCs/>
              </w:rPr>
            </w:pPr>
            <w:r w:rsidRPr="00CB690F">
              <w:rPr>
                <w:b/>
                <w:bCs/>
              </w:rPr>
              <w:t xml:space="preserve">Šírka - </w:t>
            </w:r>
            <w:r w:rsidRPr="00CB690F">
              <w:t>63 -74 cm</w:t>
            </w:r>
          </w:p>
          <w:p w14:paraId="4BE8B57D" w14:textId="77777777" w:rsidR="00F7590C" w:rsidRPr="00CB690F" w:rsidRDefault="00F7590C" w:rsidP="008D6B92">
            <w:pPr>
              <w:rPr>
                <w:b/>
                <w:bCs/>
              </w:rPr>
            </w:pPr>
            <w:r w:rsidRPr="00CB690F">
              <w:rPr>
                <w:b/>
                <w:bCs/>
              </w:rPr>
              <w:lastRenderedPageBreak/>
              <w:t xml:space="preserve">Hĺbka – </w:t>
            </w:r>
            <w:r w:rsidRPr="00CB690F">
              <w:t>63  –  66 cm</w:t>
            </w:r>
          </w:p>
          <w:p w14:paraId="39875B1F" w14:textId="77777777" w:rsidR="00F7590C" w:rsidRPr="00CB690F" w:rsidRDefault="00F7590C" w:rsidP="008D6B92">
            <w:pPr>
              <w:rPr>
                <w:b/>
                <w:bCs/>
              </w:rPr>
            </w:pPr>
            <w:r w:rsidRPr="00CB690F">
              <w:rPr>
                <w:b/>
                <w:bCs/>
              </w:rPr>
              <w:t xml:space="preserve">Výška – </w:t>
            </w:r>
            <w:r w:rsidRPr="00CB690F">
              <w:t>95,5 - 107 cm</w:t>
            </w:r>
          </w:p>
          <w:p w14:paraId="18BF7E85" w14:textId="77777777" w:rsidR="00F7590C" w:rsidRPr="00CB690F" w:rsidRDefault="00F7590C" w:rsidP="008D6B92">
            <w:pPr>
              <w:rPr>
                <w:b/>
                <w:bCs/>
              </w:rPr>
            </w:pPr>
            <w:r w:rsidRPr="00CB690F">
              <w:rPr>
                <w:b/>
                <w:bCs/>
              </w:rPr>
              <w:t xml:space="preserve">Výška sedadla – </w:t>
            </w:r>
            <w:r w:rsidRPr="00CB690F">
              <w:t>42- 54 – 56 cm</w:t>
            </w:r>
          </w:p>
          <w:p w14:paraId="05656805" w14:textId="77777777" w:rsidR="00F7590C" w:rsidRPr="00CB690F" w:rsidRDefault="00F7590C" w:rsidP="008D6B92">
            <w:pPr>
              <w:rPr>
                <w:b/>
                <w:bCs/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Referencie - </w:t>
            </w:r>
            <w:r w:rsidRPr="00CB690F">
              <w:rPr>
                <w:color w:val="000000"/>
              </w:rPr>
              <w:t>Opis spĺňajú napr.: Interstuhl Every 1526E , Ld SEATING, Arper Kinesit, Inclass Air, Kinnarps a ekvivalent</w:t>
            </w:r>
          </w:p>
        </w:tc>
      </w:tr>
      <w:tr w:rsidR="00F7590C" w:rsidRPr="008638F2" w14:paraId="4474CB2C" w14:textId="77777777" w:rsidTr="008D6B92">
        <w:trPr>
          <w:trHeight w:val="414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5C27EF" w14:textId="77777777" w:rsidR="00F7590C" w:rsidRPr="00CB690F" w:rsidRDefault="00F7590C" w:rsidP="00F7590C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690F">
              <w:rPr>
                <w:b/>
                <w:bCs/>
                <w:color w:val="000000"/>
              </w:rPr>
              <w:lastRenderedPageBreak/>
              <w:t>Mobilný kontajner k pracovnému stolu uzamykateľný</w:t>
            </w:r>
            <w:r>
              <w:rPr>
                <w:b/>
                <w:bCs/>
                <w:color w:val="000000"/>
              </w:rPr>
              <w:t xml:space="preserve"> – 13ks</w:t>
            </w:r>
          </w:p>
        </w:tc>
      </w:tr>
      <w:tr w:rsidR="00F7590C" w:rsidRPr="008638F2" w14:paraId="38C45B89" w14:textId="77777777" w:rsidTr="008D6B92">
        <w:tblPrEx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3E89" w14:textId="77777777" w:rsidR="00F7590C" w:rsidRDefault="00F7590C" w:rsidP="008D6B92">
            <w:pPr>
              <w:pStyle w:val="Odsekzoznamu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2101A">
              <w:rPr>
                <w:b/>
                <w:bCs/>
                <w:noProof/>
              </w:rPr>
              <w:t>Ilustračn</w:t>
            </w:r>
            <w:r w:rsidRPr="00CB690F">
              <w:rPr>
                <w:b/>
                <w:bCs/>
                <w:noProof/>
              </w:rPr>
              <w:t>é znázornenie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E8A8" w14:textId="77777777" w:rsidR="00F7590C" w:rsidRPr="003C2688" w:rsidRDefault="00F7590C" w:rsidP="008D6B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3A829E" wp14:editId="76B18DE9">
                  <wp:extent cx="1835150" cy="2070628"/>
                  <wp:effectExtent l="0" t="0" r="0" b="6350"/>
                  <wp:docPr id="28" name="Obrázok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C36CDA-EB0A-431C-8499-3299994DF386}"/>
                      </a:ext>
                      <a:ext uri="{147F2762-F138-4A5C-976F-8EAC2B608ADB}">
                        <a16:predDERef xmlns:a16="http://schemas.microsoft.com/office/drawing/2014/main" pred="{C382A7A1-260B-4561-91B5-DF442B55AA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ok 27">
                            <a:extLst>
                              <a:ext uri="{FF2B5EF4-FFF2-40B4-BE49-F238E27FC236}">
                                <a16:creationId xmlns:a16="http://schemas.microsoft.com/office/drawing/2014/main" id="{87C36CDA-EB0A-431C-8499-3299994DF386}"/>
                              </a:ext>
                              <a:ext uri="{147F2762-F138-4A5C-976F-8EAC2B608ADB}">
                                <a16:predDERef xmlns:a16="http://schemas.microsoft.com/office/drawing/2014/main" pred="{C382A7A1-260B-4561-91B5-DF442B55AA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207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9E0B6D" wp14:editId="0E290EAC">
                  <wp:extent cx="1943100" cy="1978250"/>
                  <wp:effectExtent l="0" t="0" r="0" b="3175"/>
                  <wp:docPr id="35" name="Obrázo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82A7A1-260B-4561-91B5-DF442B55AAEC}"/>
                      </a:ext>
                      <a:ext uri="{147F2762-F138-4A5C-976F-8EAC2B608ADB}">
                        <a16:predDERef xmlns:a16="http://schemas.microsoft.com/office/drawing/2014/main" pred="{DF7C4168-AF60-42DC-954F-BDF34D0D5E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ázok 24">
                            <a:extLst>
                              <a:ext uri="{FF2B5EF4-FFF2-40B4-BE49-F238E27FC236}">
                                <a16:creationId xmlns:a16="http://schemas.microsoft.com/office/drawing/2014/main" id="{C382A7A1-260B-4561-91B5-DF442B55AAEC}"/>
                              </a:ext>
                              <a:ext uri="{147F2762-F138-4A5C-976F-8EAC2B608ADB}">
                                <a16:predDERef xmlns:a16="http://schemas.microsoft.com/office/drawing/2014/main" pred="{DF7C4168-AF60-42DC-954F-BDF34D0D5E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00" t="10336" r="34265" b="43231"/>
                          <a:stretch/>
                        </pic:blipFill>
                        <pic:spPr>
                          <a:xfrm>
                            <a:off x="0" y="0"/>
                            <a:ext cx="1943100" cy="19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90C" w:rsidRPr="008638F2" w14:paraId="52BC3BE8" w14:textId="77777777" w:rsidTr="008D6B92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CD3" w14:textId="77777777" w:rsidR="00F7590C" w:rsidRPr="00A2101A" w:rsidRDefault="00F7590C" w:rsidP="008D6B92">
            <w:pPr>
              <w:pStyle w:val="Odsekzoznamu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Špecifikácia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E047C" w14:textId="77777777" w:rsidR="00F7590C" w:rsidRPr="00CB690F" w:rsidRDefault="00F7590C" w:rsidP="008D6B92">
            <w:pPr>
              <w:jc w:val="both"/>
              <w:rPr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Šírka - </w:t>
            </w:r>
            <w:r w:rsidRPr="00CB690F">
              <w:rPr>
                <w:color w:val="000000"/>
              </w:rPr>
              <w:t>330 - 430 mm</w:t>
            </w:r>
          </w:p>
          <w:p w14:paraId="72CEF038" w14:textId="77777777" w:rsidR="00F7590C" w:rsidRPr="00CB690F" w:rsidRDefault="00F7590C" w:rsidP="008D6B92">
            <w:pPr>
              <w:jc w:val="both"/>
              <w:rPr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Hĺbka – </w:t>
            </w:r>
            <w:r w:rsidRPr="00CB690F">
              <w:rPr>
                <w:color w:val="000000"/>
              </w:rPr>
              <w:t>500 - 600 mm</w:t>
            </w:r>
          </w:p>
          <w:p w14:paraId="07E2991F" w14:textId="77777777" w:rsidR="00F7590C" w:rsidRPr="00CB690F" w:rsidRDefault="00F7590C" w:rsidP="008D6B92">
            <w:pPr>
              <w:jc w:val="both"/>
              <w:rPr>
                <w:b/>
                <w:bCs/>
                <w:color w:val="000000"/>
              </w:rPr>
            </w:pPr>
            <w:r w:rsidRPr="00CB690F">
              <w:rPr>
                <w:b/>
                <w:bCs/>
                <w:color w:val="000000"/>
              </w:rPr>
              <w:t xml:space="preserve">Výška – </w:t>
            </w:r>
            <w:r w:rsidRPr="00CB690F">
              <w:rPr>
                <w:color w:val="000000"/>
              </w:rPr>
              <w:t>550 - 638 mm</w:t>
            </w:r>
          </w:p>
          <w:p w14:paraId="1B18E8A5" w14:textId="77777777" w:rsidR="00F7590C" w:rsidRPr="00CB690F" w:rsidRDefault="00F7590C" w:rsidP="008D6B92">
            <w:pPr>
              <w:jc w:val="both"/>
            </w:pPr>
            <w:r w:rsidRPr="00CB690F">
              <w:rPr>
                <w:b/>
                <w:bCs/>
                <w:color w:val="000000"/>
              </w:rPr>
              <w:t xml:space="preserve">Konštrukcia - </w:t>
            </w:r>
            <w:r w:rsidRPr="00CB690F">
              <w:t xml:space="preserve">laminovaná drevotriesková doska biela alebo ekvivalent </w:t>
            </w:r>
          </w:p>
          <w:p w14:paraId="25A1C621" w14:textId="77777777" w:rsidR="00F7590C" w:rsidRPr="00CB690F" w:rsidRDefault="00F7590C" w:rsidP="008D6B92">
            <w:pPr>
              <w:jc w:val="both"/>
            </w:pPr>
            <w:r w:rsidRPr="00CB690F">
              <w:rPr>
                <w:b/>
                <w:bCs/>
                <w:color w:val="000000"/>
              </w:rPr>
              <w:t xml:space="preserve">Povrchová úprava - </w:t>
            </w:r>
            <w:r w:rsidRPr="00CB690F">
              <w:t>1 mm ABS hrany, farba biela podľa špecifikácie</w:t>
            </w:r>
          </w:p>
          <w:p w14:paraId="4A3A9EB4" w14:textId="77777777" w:rsidR="00F7590C" w:rsidRPr="00CB690F" w:rsidRDefault="00F7590C" w:rsidP="008D6B92">
            <w:pPr>
              <w:jc w:val="both"/>
            </w:pPr>
            <w:r w:rsidRPr="00CB690F">
              <w:rPr>
                <w:b/>
                <w:bCs/>
                <w:color w:val="000000"/>
              </w:rPr>
              <w:t xml:space="preserve">Popis - </w:t>
            </w:r>
            <w:r w:rsidRPr="00CB690F">
              <w:t xml:space="preserve">Mobilný kontajner, pojazdný, 4 kolieska, 3 alebo 4 zásuvky, 1 zámok, bez úchytiek ale nie sú vylúčené- ale kovové, možnosť prídavného zábradlia na vrchnej strane boxu. </w:t>
            </w:r>
            <w:r w:rsidRPr="00CB690F">
              <w:rPr>
                <w:color w:val="000000"/>
              </w:rPr>
              <w:t xml:space="preserve">Plastové kolieska, výška=38 mm +-10 mm, </w:t>
            </w:r>
            <w:r w:rsidRPr="00CB690F">
              <w:t>uzamykateľná horná zásuvka.</w:t>
            </w:r>
          </w:p>
          <w:p w14:paraId="45E73A81" w14:textId="77777777" w:rsidR="00F7590C" w:rsidRPr="00CB690F" w:rsidRDefault="00F7590C" w:rsidP="008D6B92">
            <w:pPr>
              <w:jc w:val="both"/>
              <w:rPr>
                <w:b/>
                <w:bCs/>
              </w:rPr>
            </w:pPr>
            <w:r w:rsidRPr="00CB690F">
              <w:rPr>
                <w:b/>
                <w:bCs/>
              </w:rPr>
              <w:t xml:space="preserve">Referencie - </w:t>
            </w:r>
            <w:r w:rsidRPr="00CB690F">
              <w:rPr>
                <w:color w:val="000000"/>
              </w:rPr>
              <w:t>Inclass Sui, Balma pedestal (slim) , SKP Mobile Pedestal alebo uzamykateľný ekvivalent.</w:t>
            </w:r>
          </w:p>
        </w:tc>
      </w:tr>
    </w:tbl>
    <w:p w14:paraId="3CC5EF93" w14:textId="7ACB0F30" w:rsidR="002B650B" w:rsidRDefault="002B650B" w:rsidP="002B650B">
      <w:pPr>
        <w:jc w:val="both"/>
      </w:pPr>
    </w:p>
    <w:bookmarkEnd w:id="5"/>
    <w:bookmarkEnd w:id="3"/>
    <w:bookmarkEnd w:id="4"/>
    <w:p w14:paraId="21C6584E" w14:textId="77777777" w:rsidR="00F7590C" w:rsidRDefault="00F7590C" w:rsidP="005350E3">
      <w:pPr>
        <w:jc w:val="both"/>
        <w:sectPr w:rsidR="00F7590C" w:rsidSect="004821B4">
          <w:headerReference w:type="default" r:id="rId19"/>
          <w:pgSz w:w="11906" w:h="16838"/>
          <w:pgMar w:top="1191" w:right="991" w:bottom="1191" w:left="1191" w:header="709" w:footer="709" w:gutter="0"/>
          <w:cols w:space="708"/>
          <w:docGrid w:linePitch="360"/>
        </w:sectPr>
      </w:pPr>
    </w:p>
    <w:p w14:paraId="10BF3A26" w14:textId="77777777" w:rsidR="00D65B2E" w:rsidRDefault="00D65B2E" w:rsidP="005C56ED">
      <w:pPr>
        <w:jc w:val="both"/>
        <w:rPr>
          <w:b/>
        </w:rPr>
      </w:pPr>
    </w:p>
    <w:p w14:paraId="7F6316DE" w14:textId="77158C95" w:rsidR="005C56ED" w:rsidRDefault="005C56ED" w:rsidP="005C56ED">
      <w:pPr>
        <w:jc w:val="both"/>
        <w:rPr>
          <w:b/>
        </w:rPr>
      </w:pPr>
      <w:r>
        <w:rPr>
          <w:b/>
        </w:rPr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510762" w:rsidRDefault="005C56ED" w:rsidP="005C56ED">
      <w:pPr>
        <w:jc w:val="center"/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</w:pPr>
      <w:r w:rsidRPr="00510762"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  <w:t>ZOZNAM SUBDODÁVATEĽOV</w:t>
      </w:r>
    </w:p>
    <w:p w14:paraId="062EC1FB" w14:textId="77777777" w:rsidR="00BB5EF7" w:rsidRPr="00510762" w:rsidRDefault="00BB5EF7" w:rsidP="00BB5EF7">
      <w:pPr>
        <w:pStyle w:val="Default"/>
        <w:suppressAutoHyphens/>
        <w:autoSpaceDN/>
        <w:adjustRightInd/>
        <w:spacing w:after="60"/>
        <w:rPr>
          <w:rFonts w:asciiTheme="majorHAnsi" w:eastAsia="Arial" w:hAnsiTheme="majorHAnsi" w:cstheme="majorHAnsi"/>
          <w:bCs/>
          <w:color w:val="2E74B5" w:themeColor="accent1" w:themeShade="BF"/>
          <w:sz w:val="40"/>
          <w:szCs w:val="40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2BF2AB44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8F7BF4">
        <w:rPr>
          <w:rFonts w:ascii="Times New Roman" w:hAnsi="Times New Roman" w:cs="Times New Roman"/>
          <w:b/>
          <w:bCs/>
        </w:rPr>
        <w:t>Interiérové vybavenie</w:t>
      </w:r>
      <w:r w:rsidR="00F7590C">
        <w:rPr>
          <w:rFonts w:ascii="Times New Roman" w:hAnsi="Times New Roman" w:cs="Times New Roman"/>
          <w:b/>
          <w:bCs/>
        </w:rPr>
        <w:t xml:space="preserve"> pre MIB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9F87E84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</w:t>
      </w:r>
      <w:r w:rsidR="00510762">
        <w:rPr>
          <w:color w:val="000000"/>
        </w:rPr>
        <w:t xml:space="preserve">     </w:t>
      </w:r>
      <w:r w:rsidRPr="007A11C5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0BA7" w14:textId="77777777" w:rsidR="006C21EC" w:rsidRDefault="006C21EC" w:rsidP="00263912">
      <w:r>
        <w:separator/>
      </w:r>
    </w:p>
  </w:endnote>
  <w:endnote w:type="continuationSeparator" w:id="0">
    <w:p w14:paraId="54E2E01F" w14:textId="77777777" w:rsidR="006C21EC" w:rsidRDefault="006C21EC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5C4B" w14:textId="77777777" w:rsidR="006C21EC" w:rsidRDefault="006C21EC" w:rsidP="00263912">
      <w:r>
        <w:separator/>
      </w:r>
    </w:p>
  </w:footnote>
  <w:footnote w:type="continuationSeparator" w:id="0">
    <w:p w14:paraId="2F6E7B89" w14:textId="77777777" w:rsidR="006C21EC" w:rsidRDefault="006C21EC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50A35C9B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9F3FC3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510762">
      <w:rPr>
        <w:b/>
        <w:bCs/>
        <w:sz w:val="22"/>
      </w:rPr>
      <w:t>1</w:t>
    </w:r>
    <w:r w:rsidR="006C7764">
      <w:rPr>
        <w:b/>
        <w:bCs/>
        <w:sz w:val="22"/>
      </w:rPr>
      <w:t>5</w:t>
    </w:r>
    <w:r w:rsidR="009F3FC3">
      <w:rPr>
        <w:b/>
        <w:bCs/>
        <w:sz w:val="22"/>
      </w:rPr>
      <w:t xml:space="preserve"> </w:t>
    </w:r>
    <w:r w:rsidRPr="00243E10">
      <w:rPr>
        <w:b/>
        <w:bCs/>
        <w:sz w:val="22"/>
      </w:rPr>
      <w:t>- „</w:t>
    </w:r>
    <w:r w:rsidR="009F3FC3">
      <w:rPr>
        <w:b/>
        <w:bCs/>
        <w:sz w:val="22"/>
      </w:rPr>
      <w:t>Interiérové vybavenie</w:t>
    </w:r>
    <w:r w:rsidR="006C7764">
      <w:rPr>
        <w:b/>
        <w:bCs/>
        <w:sz w:val="22"/>
      </w:rPr>
      <w:t xml:space="preserve"> pre MIB</w:t>
    </w:r>
    <w:r w:rsidRPr="00243E10">
      <w:rPr>
        <w:b/>
        <w:bCs/>
        <w:sz w:val="22"/>
      </w:rPr>
      <w:t>“ v rámci zriadeného DNS „</w:t>
    </w:r>
    <w:r w:rsidR="00322A62"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0B16"/>
    <w:multiLevelType w:val="hybridMultilevel"/>
    <w:tmpl w:val="D9EA5FB2"/>
    <w:lvl w:ilvl="0" w:tplc="4BE88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2C1531"/>
    <w:multiLevelType w:val="hybridMultilevel"/>
    <w:tmpl w:val="2242CA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4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  <w:num w:numId="27">
    <w:abstractNumId w:val="6"/>
  </w:num>
  <w:num w:numId="28">
    <w:abstractNumId w:val="16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04CD7"/>
    <w:rsid w:val="00011D9A"/>
    <w:rsid w:val="00013B13"/>
    <w:rsid w:val="00036060"/>
    <w:rsid w:val="00037A57"/>
    <w:rsid w:val="00037FDB"/>
    <w:rsid w:val="00046AEE"/>
    <w:rsid w:val="000522C3"/>
    <w:rsid w:val="000529DA"/>
    <w:rsid w:val="00054EE3"/>
    <w:rsid w:val="00057D07"/>
    <w:rsid w:val="000627E2"/>
    <w:rsid w:val="00073F16"/>
    <w:rsid w:val="00076651"/>
    <w:rsid w:val="000A55E6"/>
    <w:rsid w:val="000B10C9"/>
    <w:rsid w:val="000C2FCA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7AC0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5333A"/>
    <w:rsid w:val="00263912"/>
    <w:rsid w:val="00277692"/>
    <w:rsid w:val="00282671"/>
    <w:rsid w:val="00292A4B"/>
    <w:rsid w:val="002979F6"/>
    <w:rsid w:val="002A1244"/>
    <w:rsid w:val="002B0EC2"/>
    <w:rsid w:val="002B20F6"/>
    <w:rsid w:val="002B3B89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23D3"/>
    <w:rsid w:val="003944DE"/>
    <w:rsid w:val="003975F3"/>
    <w:rsid w:val="003A1DB5"/>
    <w:rsid w:val="003A41D6"/>
    <w:rsid w:val="003A67EF"/>
    <w:rsid w:val="003B3907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ED2"/>
    <w:rsid w:val="00466FCC"/>
    <w:rsid w:val="00476646"/>
    <w:rsid w:val="00477BB7"/>
    <w:rsid w:val="004821B4"/>
    <w:rsid w:val="004847A5"/>
    <w:rsid w:val="00497B35"/>
    <w:rsid w:val="004B6392"/>
    <w:rsid w:val="004C7C9E"/>
    <w:rsid w:val="004D676E"/>
    <w:rsid w:val="004E0CD8"/>
    <w:rsid w:val="004F07F0"/>
    <w:rsid w:val="004F0ED2"/>
    <w:rsid w:val="004F4839"/>
    <w:rsid w:val="004F70C5"/>
    <w:rsid w:val="0050212C"/>
    <w:rsid w:val="00510762"/>
    <w:rsid w:val="005208F4"/>
    <w:rsid w:val="00522851"/>
    <w:rsid w:val="00527AA7"/>
    <w:rsid w:val="005350E3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8DD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3057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6B60"/>
    <w:rsid w:val="00657597"/>
    <w:rsid w:val="0066106B"/>
    <w:rsid w:val="006622DC"/>
    <w:rsid w:val="00664D89"/>
    <w:rsid w:val="00666F24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1EC"/>
    <w:rsid w:val="006C2B38"/>
    <w:rsid w:val="006C7764"/>
    <w:rsid w:val="006D74C2"/>
    <w:rsid w:val="007161D6"/>
    <w:rsid w:val="00723496"/>
    <w:rsid w:val="00726187"/>
    <w:rsid w:val="00733E36"/>
    <w:rsid w:val="00734EC2"/>
    <w:rsid w:val="00753BF8"/>
    <w:rsid w:val="00763C6B"/>
    <w:rsid w:val="00775BBA"/>
    <w:rsid w:val="0079385B"/>
    <w:rsid w:val="007A1A9C"/>
    <w:rsid w:val="007B1118"/>
    <w:rsid w:val="007C2BCB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36054"/>
    <w:rsid w:val="00846AA2"/>
    <w:rsid w:val="00851257"/>
    <w:rsid w:val="00861EE9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8F7BF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6118C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3FC3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24DB"/>
    <w:rsid w:val="00AF3F5D"/>
    <w:rsid w:val="00AF7799"/>
    <w:rsid w:val="00B03B98"/>
    <w:rsid w:val="00B075C9"/>
    <w:rsid w:val="00B14946"/>
    <w:rsid w:val="00B20672"/>
    <w:rsid w:val="00B22610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8184E"/>
    <w:rsid w:val="00BA3A70"/>
    <w:rsid w:val="00BB258A"/>
    <w:rsid w:val="00BB5EF7"/>
    <w:rsid w:val="00BB7281"/>
    <w:rsid w:val="00BC27D3"/>
    <w:rsid w:val="00BD42D6"/>
    <w:rsid w:val="00BE14EE"/>
    <w:rsid w:val="00BE3F79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5B2E"/>
    <w:rsid w:val="00D6715A"/>
    <w:rsid w:val="00D74286"/>
    <w:rsid w:val="00D92ABC"/>
    <w:rsid w:val="00D9372C"/>
    <w:rsid w:val="00D9690A"/>
    <w:rsid w:val="00D9757B"/>
    <w:rsid w:val="00DA4C52"/>
    <w:rsid w:val="00DB07BD"/>
    <w:rsid w:val="00DB322F"/>
    <w:rsid w:val="00DC6095"/>
    <w:rsid w:val="00DD2792"/>
    <w:rsid w:val="00DE39AB"/>
    <w:rsid w:val="00E05251"/>
    <w:rsid w:val="00E0638B"/>
    <w:rsid w:val="00E07F5C"/>
    <w:rsid w:val="00E109EA"/>
    <w:rsid w:val="00E17BF5"/>
    <w:rsid w:val="00E22FDA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F0133F"/>
    <w:rsid w:val="00F14468"/>
    <w:rsid w:val="00F2028D"/>
    <w:rsid w:val="00F25DAA"/>
    <w:rsid w:val="00F30A20"/>
    <w:rsid w:val="00F3400D"/>
    <w:rsid w:val="00F379F6"/>
    <w:rsid w:val="00F44E93"/>
    <w:rsid w:val="00F50300"/>
    <w:rsid w:val="00F60A93"/>
    <w:rsid w:val="00F65727"/>
    <w:rsid w:val="00F67781"/>
    <w:rsid w:val="00F67F21"/>
    <w:rsid w:val="00F7590C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4915-3111-4D3B-ADC5-46CAA8A06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EDA8-DD03-4E26-BADB-B544F21F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352DA-A48C-4045-B59B-E28F8A0E1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Sabová Eva, Mgr.</cp:lastModifiedBy>
  <cp:revision>36</cp:revision>
  <cp:lastPrinted>2020-09-07T13:31:00Z</cp:lastPrinted>
  <dcterms:created xsi:type="dcterms:W3CDTF">2021-03-30T13:32:00Z</dcterms:created>
  <dcterms:modified xsi:type="dcterms:W3CDTF">2021-06-08T10:03:00Z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