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Ind w:w="-176" w:type="dxa"/>
        <w:tblLook w:val="04A0"/>
      </w:tblPr>
      <w:tblGrid>
        <w:gridCol w:w="938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457C9D">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F17B0C">
              <w:rPr>
                <w:rFonts w:ascii="Arial" w:eastAsia="Times New Roman" w:hAnsi="Arial" w:cs="Arial"/>
                <w:lang w:eastAsia="cs-CZ"/>
              </w:rPr>
              <w:t>1</w:t>
            </w:r>
            <w:r w:rsidRPr="00502C02">
              <w:rPr>
                <w:rFonts w:ascii="Arial" w:eastAsia="Times New Roman" w:hAnsi="Arial" w:cs="Arial"/>
                <w:lang w:eastAsia="cs-CZ"/>
              </w:rPr>
              <w:t>-</w:t>
            </w:r>
            <w:r w:rsidR="00D63F02">
              <w:rPr>
                <w:rFonts w:ascii="Arial" w:eastAsia="Times New Roman" w:hAnsi="Arial" w:cs="Arial"/>
                <w:lang w:eastAsia="cs-CZ"/>
              </w:rPr>
              <w:t>0</w:t>
            </w:r>
            <w:r w:rsidR="00457C9D">
              <w:rPr>
                <w:rFonts w:ascii="Arial" w:eastAsia="Times New Roman" w:hAnsi="Arial" w:cs="Arial"/>
                <w:lang w:eastAsia="cs-CZ"/>
              </w:rPr>
              <w:t>36-</w:t>
            </w:r>
            <w:r w:rsidR="007A2F90">
              <w:rPr>
                <w:rFonts w:ascii="Arial" w:eastAsia="Times New Roman" w:hAnsi="Arial" w:cs="Arial"/>
                <w:lang w:eastAsia="cs-CZ"/>
              </w:rPr>
              <w:t>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F17B0C" w:rsidRDefault="00F17B0C" w:rsidP="00D63F02">
            <w:pPr>
              <w:spacing w:after="0" w:line="240" w:lineRule="auto"/>
              <w:jc w:val="both"/>
              <w:rPr>
                <w:rFonts w:ascii="Arial" w:eastAsia="Times New Roman" w:hAnsi="Arial" w:cs="Arial"/>
                <w:highlight w:val="yellow"/>
                <w:lang w:eastAsia="cs-CZ"/>
              </w:rPr>
            </w:pPr>
            <w:r w:rsidRPr="00F17B0C">
              <w:rPr>
                <w:rFonts w:ascii="Arial" w:hAnsi="Arial" w:cs="Arial"/>
                <w:b/>
                <w:sz w:val="24"/>
                <w:szCs w:val="24"/>
              </w:rPr>
              <w:t>„Novostavba chodníku ul. Plenkovická“</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131018" w:rsidP="00E215D3">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07.07</w:t>
            </w:r>
            <w:r w:rsidR="00F17B0C">
              <w:rPr>
                <w:rFonts w:ascii="Arial" w:eastAsia="Times New Roman" w:hAnsi="Arial" w:cs="Arial"/>
                <w:lang w:eastAsia="cs-CZ"/>
              </w:rPr>
              <w:t>.2021</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Obroková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511A48"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7465B2" w:rsidRPr="00C22977" w:rsidRDefault="007465B2" w:rsidP="007465B2">
            <w:pPr>
              <w:pStyle w:val="Default"/>
              <w:jc w:val="both"/>
              <w:rPr>
                <w:b/>
                <w:sz w:val="22"/>
                <w:szCs w:val="22"/>
                <w:lang w:eastAsia="cs-CZ"/>
              </w:rPr>
            </w:pPr>
            <w:r w:rsidRPr="00C22977">
              <w:rPr>
                <w:sz w:val="22"/>
                <w:szCs w:val="22"/>
                <w:lang w:eastAsia="cs-CZ"/>
              </w:rPr>
              <w:t>Lhůta pro podání nabídek končí</w:t>
            </w:r>
            <w:r w:rsidR="0091538A">
              <w:rPr>
                <w:sz w:val="22"/>
                <w:szCs w:val="22"/>
                <w:lang w:eastAsia="cs-CZ"/>
              </w:rPr>
              <w:t xml:space="preserve"> </w:t>
            </w:r>
            <w:r w:rsidR="00131018">
              <w:rPr>
                <w:sz w:val="22"/>
                <w:szCs w:val="22"/>
                <w:lang w:eastAsia="cs-CZ"/>
              </w:rPr>
              <w:t>15.07.2021</w:t>
            </w:r>
            <w:r w:rsidR="0091538A">
              <w:rPr>
                <w:sz w:val="22"/>
                <w:szCs w:val="22"/>
                <w:lang w:eastAsia="cs-CZ"/>
              </w:rPr>
              <w:t xml:space="preserve"> v 9:00:00</w:t>
            </w:r>
            <w:r w:rsidR="00DC6761">
              <w:rPr>
                <w:sz w:val="22"/>
                <w:szCs w:val="22"/>
                <w:lang w:eastAsia="cs-CZ"/>
              </w:rPr>
              <w:t xml:space="preserve"> h</w:t>
            </w:r>
            <w:r w:rsidR="0091538A">
              <w:rPr>
                <w:sz w:val="22"/>
                <w:szCs w:val="22"/>
                <w:lang w:eastAsia="cs-CZ"/>
              </w:rPr>
              <w:t>.</w:t>
            </w:r>
            <w:bookmarkStart w:id="0" w:name="_GoBack"/>
            <w:bookmarkEnd w:id="0"/>
          </w:p>
          <w:p w:rsidR="001F3779" w:rsidRPr="00633BDB" w:rsidRDefault="001F3779" w:rsidP="001F3779">
            <w:pPr>
              <w:pStyle w:val="Default"/>
              <w:jc w:val="both"/>
              <w:rPr>
                <w:sz w:val="22"/>
                <w:szCs w:val="22"/>
                <w:lang w:eastAsia="cs-CZ"/>
              </w:rPr>
            </w:pPr>
            <w:r w:rsidRPr="00633BDB">
              <w:rPr>
                <w:b/>
                <w:sz w:val="22"/>
                <w:szCs w:val="22"/>
                <w:lang w:eastAsia="cs-CZ"/>
              </w:rPr>
              <w:t xml:space="preserve">Následně bude na emailovou adresu zaslána pozvánka k účasti v elektronické akci, která se bude konat </w:t>
            </w:r>
            <w:r>
              <w:rPr>
                <w:b/>
                <w:sz w:val="22"/>
                <w:szCs w:val="22"/>
                <w:lang w:eastAsia="cs-CZ"/>
              </w:rPr>
              <w:t>16.07.2021</w:t>
            </w:r>
            <w:r w:rsidRPr="00633BDB">
              <w:rPr>
                <w:b/>
                <w:sz w:val="22"/>
                <w:szCs w:val="22"/>
                <w:lang w:eastAsia="cs-CZ"/>
              </w:rPr>
              <w:t xml:space="preserve"> v 09:00:00 h.</w:t>
            </w:r>
          </w:p>
          <w:p w:rsidR="00983B18" w:rsidRPr="00C22977" w:rsidRDefault="00983B18" w:rsidP="00705673">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C22977" w:rsidRPr="00C22977" w:rsidRDefault="00896C20" w:rsidP="00C22977">
            <w:pPr>
              <w:pStyle w:val="Default"/>
              <w:jc w:val="both"/>
              <w:rPr>
                <w:rFonts w:eastAsia="Times New Roman"/>
                <w:sz w:val="22"/>
                <w:szCs w:val="22"/>
                <w:lang w:eastAsia="cs-CZ"/>
              </w:rPr>
            </w:pPr>
            <w:r>
              <w:rPr>
                <w:rFonts w:eastAsia="Times New Roman"/>
                <w:sz w:val="22"/>
                <w:szCs w:val="22"/>
                <w:lang w:eastAsia="cs-CZ"/>
              </w:rPr>
              <w:t xml:space="preserve">Předmětem plnění </w:t>
            </w:r>
            <w:r w:rsidR="00F17B0C">
              <w:rPr>
                <w:rFonts w:eastAsia="Times New Roman"/>
                <w:sz w:val="22"/>
                <w:szCs w:val="22"/>
                <w:lang w:eastAsia="cs-CZ"/>
              </w:rPr>
              <w:t>je novostavba chodníku včetně vjezdů a odvodnění.</w:t>
            </w:r>
          </w:p>
          <w:p w:rsidR="00C22977" w:rsidRPr="00C22977" w:rsidRDefault="00C22977" w:rsidP="00C22977">
            <w:pPr>
              <w:pStyle w:val="Default"/>
              <w:jc w:val="both"/>
              <w:rPr>
                <w:rFonts w:eastAsia="Times New Roman"/>
                <w:sz w:val="22"/>
                <w:szCs w:val="22"/>
                <w:lang w:eastAsia="cs-CZ"/>
              </w:rPr>
            </w:pPr>
            <w:r w:rsidRPr="00C22977">
              <w:rPr>
                <w:rFonts w:eastAsia="Times New Roman"/>
                <w:sz w:val="22"/>
                <w:szCs w:val="22"/>
                <w:lang w:eastAsia="cs-CZ"/>
              </w:rPr>
              <w:t>Součástí plnění jsou práce i povinnosti vycházející z výkazu výměr</w:t>
            </w:r>
            <w:r w:rsidR="00896C20">
              <w:rPr>
                <w:rFonts w:eastAsia="Times New Roman"/>
                <w:sz w:val="22"/>
                <w:szCs w:val="22"/>
                <w:lang w:eastAsia="cs-CZ"/>
              </w:rPr>
              <w:t xml:space="preserve"> a smlouvy o dílo.</w:t>
            </w:r>
          </w:p>
          <w:p w:rsidR="00C22977" w:rsidRPr="00C22977" w:rsidRDefault="00C22977" w:rsidP="00C22977">
            <w:pPr>
              <w:pStyle w:val="Default"/>
              <w:jc w:val="both"/>
              <w:rPr>
                <w:rFonts w:eastAsia="Times New Roman"/>
                <w:sz w:val="22"/>
                <w:szCs w:val="22"/>
                <w:lang w:eastAsia="cs-CZ"/>
              </w:rPr>
            </w:pPr>
          </w:p>
          <w:p w:rsidR="00983B18" w:rsidRPr="00C22977" w:rsidRDefault="00983B18" w:rsidP="004C1FF2">
            <w:pPr>
              <w:pStyle w:val="Default"/>
              <w:jc w:val="both"/>
              <w:rPr>
                <w:sz w:val="22"/>
                <w:szCs w:val="22"/>
                <w:highlight w:val="yellow"/>
              </w:rPr>
            </w:pP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Místem plnění je </w:t>
            </w:r>
            <w:r w:rsidR="00F17B0C">
              <w:rPr>
                <w:rFonts w:ascii="Arial" w:eastAsia="Times New Roman" w:hAnsi="Arial" w:cs="Arial"/>
                <w:lang w:eastAsia="cs-CZ"/>
              </w:rPr>
              <w:t xml:space="preserve">ul. Plenkovická v Příměticích, na pozemku </w:t>
            </w:r>
            <w:r>
              <w:rPr>
                <w:rFonts w:ascii="Arial" w:eastAsia="Times New Roman" w:hAnsi="Arial" w:cs="Arial"/>
                <w:lang w:eastAsia="cs-CZ"/>
              </w:rPr>
              <w:t xml:space="preserve">parc. č. </w:t>
            </w:r>
            <w:r w:rsidR="003264CB">
              <w:rPr>
                <w:rFonts w:ascii="Arial" w:eastAsia="Times New Roman" w:hAnsi="Arial" w:cs="Arial"/>
                <w:lang w:eastAsia="cs-CZ"/>
              </w:rPr>
              <w:t>996/2, 996/3, 695/2, 695/1, 968, 725/7, 725/5</w:t>
            </w:r>
            <w:r>
              <w:rPr>
                <w:rFonts w:ascii="Arial" w:eastAsia="Times New Roman" w:hAnsi="Arial" w:cs="Arial"/>
                <w:lang w:eastAsia="cs-CZ"/>
              </w:rPr>
              <w:t xml:space="preserve"> k. ú. </w:t>
            </w:r>
            <w:r w:rsidR="00F17B0C">
              <w:rPr>
                <w:rFonts w:ascii="Arial" w:eastAsia="Times New Roman" w:hAnsi="Arial" w:cs="Arial"/>
                <w:lang w:eastAsia="cs-CZ"/>
              </w:rPr>
              <w:t>Přímětice</w:t>
            </w:r>
          </w:p>
          <w:p w:rsidR="00C00456" w:rsidRPr="007465B2" w:rsidRDefault="00C00456" w:rsidP="0091067B">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Termín provádění: srpen</w:t>
            </w:r>
            <w:r w:rsidR="0091067B">
              <w:rPr>
                <w:rFonts w:ascii="Arial" w:eastAsia="Times New Roman" w:hAnsi="Arial" w:cs="Arial"/>
                <w:lang w:eastAsia="cs-CZ"/>
              </w:rPr>
              <w:t>, září</w:t>
            </w:r>
            <w:r w:rsidR="000A4719">
              <w:rPr>
                <w:rFonts w:ascii="Arial" w:eastAsia="Times New Roman" w:hAnsi="Arial" w:cs="Arial"/>
                <w:lang w:eastAsia="cs-CZ"/>
              </w:rPr>
              <w:t>, říjen</w:t>
            </w:r>
            <w:r>
              <w:rPr>
                <w:rFonts w:ascii="Arial" w:eastAsia="Times New Roman" w:hAnsi="Arial" w:cs="Arial"/>
                <w:lang w:eastAsia="cs-CZ"/>
              </w:rPr>
              <w:t xml:space="preserve"> 202</w:t>
            </w:r>
            <w:r w:rsidR="00F17B0C">
              <w:rPr>
                <w:rFonts w:ascii="Arial" w:eastAsia="Times New Roman" w:hAnsi="Arial" w:cs="Arial"/>
                <w:lang w:eastAsia="cs-CZ"/>
              </w:rPr>
              <w:t>1</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3264CB" w:rsidRDefault="003264CB" w:rsidP="00BD269A">
            <w:pPr>
              <w:spacing w:after="0" w:line="240" w:lineRule="auto"/>
              <w:jc w:val="both"/>
              <w:rPr>
                <w:rFonts w:ascii="Arial" w:eastAsia="Times New Roman" w:hAnsi="Arial" w:cs="Arial"/>
                <w:lang w:eastAsia="cs-CZ"/>
              </w:rPr>
            </w:pPr>
            <w:r w:rsidRPr="003264CB">
              <w:rPr>
                <w:rFonts w:ascii="Arial" w:hAnsi="Arial" w:cs="Arial"/>
                <w:b/>
              </w:rPr>
              <w:t>3 651 360 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983B18" w:rsidP="007741D2">
            <w:pPr>
              <w:spacing w:after="0" w:line="240" w:lineRule="auto"/>
              <w:jc w:val="both"/>
              <w:rPr>
                <w:rFonts w:ascii="Arial" w:eastAsia="Times New Roman" w:hAnsi="Arial" w:cs="Arial"/>
                <w:highlight w:val="yellow"/>
                <w:lang w:eastAsia="cs-CZ"/>
              </w:rPr>
            </w:pP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1F3779" w:rsidRDefault="003264CB" w:rsidP="00C22977">
            <w:pPr>
              <w:pStyle w:val="Odstavecseseznamem"/>
              <w:spacing w:after="0" w:line="240" w:lineRule="auto"/>
              <w:jc w:val="both"/>
              <w:rPr>
                <w:rFonts w:ascii="Arial" w:eastAsia="Times New Roman" w:hAnsi="Arial" w:cs="Arial"/>
                <w:lang w:eastAsia="cs-CZ"/>
              </w:rPr>
            </w:pPr>
            <w:r w:rsidRPr="003264CB">
              <w:rPr>
                <w:rFonts w:ascii="Arial" w:eastAsia="Times New Roman" w:hAnsi="Arial" w:cs="Arial"/>
                <w:lang w:eastAsia="cs-CZ"/>
              </w:rPr>
              <w:t>(dopravní stavby)</w:t>
            </w:r>
          </w:p>
          <w:p w:rsidR="001F3779" w:rsidRPr="001F3779" w:rsidRDefault="001F3779" w:rsidP="001F3779">
            <w:pPr>
              <w:pStyle w:val="Odstavecseseznamem"/>
              <w:numPr>
                <w:ilvl w:val="0"/>
                <w:numId w:val="5"/>
              </w:numPr>
              <w:spacing w:after="0" w:line="240" w:lineRule="auto"/>
              <w:ind w:left="664" w:hanging="283"/>
              <w:jc w:val="both"/>
              <w:rPr>
                <w:rFonts w:ascii="Arial" w:eastAsia="Times New Roman" w:hAnsi="Arial" w:cs="Arial"/>
                <w:lang w:eastAsia="cs-CZ"/>
              </w:rPr>
            </w:pPr>
            <w:r>
              <w:rPr>
                <w:rFonts w:ascii="Arial" w:eastAsia="Times New Roman" w:hAnsi="Arial" w:cs="Arial"/>
                <w:lang w:eastAsia="cs-CZ"/>
              </w:rPr>
              <w:t xml:space="preserve"> autorizaci hlavního stavbyvedoucího v oboru dopravní stavby</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BC6" w:rsidRDefault="00E21BC6" w:rsidP="007465B2">
      <w:pPr>
        <w:spacing w:after="0" w:line="240" w:lineRule="auto"/>
      </w:pPr>
      <w:r>
        <w:separator/>
      </w:r>
    </w:p>
  </w:endnote>
  <w:endnote w:type="continuationSeparator" w:id="0">
    <w:p w:rsidR="00E21BC6" w:rsidRDefault="00E21BC6" w:rsidP="0074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1835"/>
      <w:docPartObj>
        <w:docPartGallery w:val="Page Numbers (Bottom of Page)"/>
        <w:docPartUnique/>
      </w:docPartObj>
    </w:sdtPr>
    <w:sdtContent>
      <w:p w:rsidR="007465B2" w:rsidRDefault="00511A48" w:rsidP="007465B2">
        <w:pPr>
          <w:pStyle w:val="Zpat"/>
          <w:tabs>
            <w:tab w:val="clear" w:pos="4536"/>
            <w:tab w:val="clear" w:pos="9072"/>
            <w:tab w:val="left" w:pos="6641"/>
          </w:tabs>
        </w:pPr>
        <w:r>
          <w:rPr>
            <w:noProof/>
            <w:lang w:eastAsia="cs-CZ"/>
          </w:rPr>
          <w:pict>
            <v:group id="Group 6" o:spid="_x0000_s4097"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kJWA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">
              <v:shapetype id="_x0000_t202" coordsize="21600,21600" o:spt="202" path="m,l,21600r21600,l21600,xe">
                <v:stroke joinstyle="miter"/>
                <v:path gradientshapeok="t" o:connecttype="rect"/>
              </v:shapetype>
              <v:shape id="Text Box 7" o:spid="_x0000_s4101"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511A48">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E21BC6">
                        <w:rPr>
                          <w:noProof/>
                          <w:color w:val="8C8C8C" w:themeColor="background1" w:themeShade="8C"/>
                        </w:rPr>
                        <w:t>1</w:t>
                      </w:r>
                      <w:r>
                        <w:rPr>
                          <w:noProof/>
                          <w:color w:val="8C8C8C" w:themeColor="background1" w:themeShade="8C"/>
                        </w:rPr>
                        <w:fldChar w:fldCharType="end"/>
                      </w:r>
                    </w:p>
                  </w:txbxContent>
                </v:textbox>
              </v:shape>
              <v:group id="Group 8" o:spid="_x0000_s409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BC6" w:rsidRDefault="00E21BC6" w:rsidP="007465B2">
      <w:pPr>
        <w:spacing w:after="0" w:line="240" w:lineRule="auto"/>
      </w:pPr>
      <w:r>
        <w:separator/>
      </w:r>
    </w:p>
  </w:footnote>
  <w:footnote w:type="continuationSeparator" w:id="0">
    <w:p w:rsidR="00E21BC6" w:rsidRDefault="00E21BC6" w:rsidP="00746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325A"/>
    <w:multiLevelType w:val="hybridMultilevel"/>
    <w:tmpl w:val="BB6248BA"/>
    <w:lvl w:ilvl="0" w:tplc="04050001">
      <w:start w:val="1"/>
      <w:numFmt w:val="bullet"/>
      <w:lvlText w:val=""/>
      <w:lvlJc w:val="left"/>
      <w:pPr>
        <w:ind w:left="1101" w:hanging="360"/>
      </w:pPr>
      <w:rPr>
        <w:rFonts w:ascii="Symbol" w:hAnsi="Symbol" w:hint="default"/>
      </w:rPr>
    </w:lvl>
    <w:lvl w:ilvl="1" w:tplc="04050003" w:tentative="1">
      <w:start w:val="1"/>
      <w:numFmt w:val="bullet"/>
      <w:lvlText w:val="o"/>
      <w:lvlJc w:val="left"/>
      <w:pPr>
        <w:ind w:left="1821" w:hanging="360"/>
      </w:pPr>
      <w:rPr>
        <w:rFonts w:ascii="Courier New" w:hAnsi="Courier New" w:cs="Courier New" w:hint="default"/>
      </w:rPr>
    </w:lvl>
    <w:lvl w:ilvl="2" w:tplc="04050005" w:tentative="1">
      <w:start w:val="1"/>
      <w:numFmt w:val="bullet"/>
      <w:lvlText w:val=""/>
      <w:lvlJc w:val="left"/>
      <w:pPr>
        <w:ind w:left="2541" w:hanging="360"/>
      </w:pPr>
      <w:rPr>
        <w:rFonts w:ascii="Wingdings" w:hAnsi="Wingdings" w:hint="default"/>
      </w:rPr>
    </w:lvl>
    <w:lvl w:ilvl="3" w:tplc="04050001" w:tentative="1">
      <w:start w:val="1"/>
      <w:numFmt w:val="bullet"/>
      <w:lvlText w:val=""/>
      <w:lvlJc w:val="left"/>
      <w:pPr>
        <w:ind w:left="3261" w:hanging="360"/>
      </w:pPr>
      <w:rPr>
        <w:rFonts w:ascii="Symbol" w:hAnsi="Symbol" w:hint="default"/>
      </w:rPr>
    </w:lvl>
    <w:lvl w:ilvl="4" w:tplc="04050003" w:tentative="1">
      <w:start w:val="1"/>
      <w:numFmt w:val="bullet"/>
      <w:lvlText w:val="o"/>
      <w:lvlJc w:val="left"/>
      <w:pPr>
        <w:ind w:left="3981" w:hanging="360"/>
      </w:pPr>
      <w:rPr>
        <w:rFonts w:ascii="Courier New" w:hAnsi="Courier New" w:cs="Courier New" w:hint="default"/>
      </w:rPr>
    </w:lvl>
    <w:lvl w:ilvl="5" w:tplc="04050005" w:tentative="1">
      <w:start w:val="1"/>
      <w:numFmt w:val="bullet"/>
      <w:lvlText w:val=""/>
      <w:lvlJc w:val="left"/>
      <w:pPr>
        <w:ind w:left="4701" w:hanging="360"/>
      </w:pPr>
      <w:rPr>
        <w:rFonts w:ascii="Wingdings" w:hAnsi="Wingdings" w:hint="default"/>
      </w:rPr>
    </w:lvl>
    <w:lvl w:ilvl="6" w:tplc="04050001" w:tentative="1">
      <w:start w:val="1"/>
      <w:numFmt w:val="bullet"/>
      <w:lvlText w:val=""/>
      <w:lvlJc w:val="left"/>
      <w:pPr>
        <w:ind w:left="5421" w:hanging="360"/>
      </w:pPr>
      <w:rPr>
        <w:rFonts w:ascii="Symbol" w:hAnsi="Symbol" w:hint="default"/>
      </w:rPr>
    </w:lvl>
    <w:lvl w:ilvl="7" w:tplc="04050003" w:tentative="1">
      <w:start w:val="1"/>
      <w:numFmt w:val="bullet"/>
      <w:lvlText w:val="o"/>
      <w:lvlJc w:val="left"/>
      <w:pPr>
        <w:ind w:left="6141" w:hanging="360"/>
      </w:pPr>
      <w:rPr>
        <w:rFonts w:ascii="Courier New" w:hAnsi="Courier New" w:cs="Courier New" w:hint="default"/>
      </w:rPr>
    </w:lvl>
    <w:lvl w:ilvl="8" w:tplc="04050005" w:tentative="1">
      <w:start w:val="1"/>
      <w:numFmt w:val="bullet"/>
      <w:lvlText w:val=""/>
      <w:lvlJc w:val="left"/>
      <w:pPr>
        <w:ind w:left="6861" w:hanging="360"/>
      </w:pPr>
      <w:rPr>
        <w:rFonts w:ascii="Wingdings" w:hAnsi="Wingdings" w:hint="default"/>
      </w:rPr>
    </w:lvl>
  </w:abstractNum>
  <w:abstractNum w:abstractNumId="1">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4">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41986"/>
    <o:shapelayout v:ext="edit">
      <o:idmap v:ext="edit" data="4"/>
      <o:rules v:ext="edit">
        <o:r id="V:Rule3" type="connector" idref="#AutoShape 9"/>
        <o:r id="V:Rule4" type="connector" idref="#AutoShape 10"/>
      </o:rules>
    </o:shapelayout>
  </w:hdrShapeDefaults>
  <w:footnotePr>
    <w:footnote w:id="-1"/>
    <w:footnote w:id="0"/>
  </w:footnotePr>
  <w:endnotePr>
    <w:endnote w:id="-1"/>
    <w:endnote w:id="0"/>
  </w:endnotePr>
  <w:compat/>
  <w:rsids>
    <w:rsidRoot w:val="00983B18"/>
    <w:rsid w:val="000154E7"/>
    <w:rsid w:val="00060906"/>
    <w:rsid w:val="00073604"/>
    <w:rsid w:val="000A4719"/>
    <w:rsid w:val="000A5A8E"/>
    <w:rsid w:val="000B1D3D"/>
    <w:rsid w:val="00131018"/>
    <w:rsid w:val="00165665"/>
    <w:rsid w:val="0017576D"/>
    <w:rsid w:val="001B1220"/>
    <w:rsid w:val="001E14DA"/>
    <w:rsid w:val="001E6C24"/>
    <w:rsid w:val="001F3779"/>
    <w:rsid w:val="00221475"/>
    <w:rsid w:val="00236478"/>
    <w:rsid w:val="002469EF"/>
    <w:rsid w:val="00284128"/>
    <w:rsid w:val="002A37C5"/>
    <w:rsid w:val="002D1340"/>
    <w:rsid w:val="003264CB"/>
    <w:rsid w:val="00381F60"/>
    <w:rsid w:val="003D6EF0"/>
    <w:rsid w:val="00420C8C"/>
    <w:rsid w:val="00430E01"/>
    <w:rsid w:val="0045141E"/>
    <w:rsid w:val="00457C9D"/>
    <w:rsid w:val="00486D9F"/>
    <w:rsid w:val="004A1E8E"/>
    <w:rsid w:val="004C1FF2"/>
    <w:rsid w:val="004E7C75"/>
    <w:rsid w:val="00502C02"/>
    <w:rsid w:val="0050559D"/>
    <w:rsid w:val="00511A48"/>
    <w:rsid w:val="00534D5A"/>
    <w:rsid w:val="00563A2E"/>
    <w:rsid w:val="005B0907"/>
    <w:rsid w:val="005F7E04"/>
    <w:rsid w:val="0060562E"/>
    <w:rsid w:val="00605BAE"/>
    <w:rsid w:val="006574D7"/>
    <w:rsid w:val="00705673"/>
    <w:rsid w:val="00712118"/>
    <w:rsid w:val="00734E54"/>
    <w:rsid w:val="007465B2"/>
    <w:rsid w:val="007741D2"/>
    <w:rsid w:val="00787F32"/>
    <w:rsid w:val="007A2F90"/>
    <w:rsid w:val="007B0FD7"/>
    <w:rsid w:val="007C0231"/>
    <w:rsid w:val="00816F46"/>
    <w:rsid w:val="00830A71"/>
    <w:rsid w:val="00834E3F"/>
    <w:rsid w:val="008828A5"/>
    <w:rsid w:val="00896C20"/>
    <w:rsid w:val="008B123B"/>
    <w:rsid w:val="008D64C8"/>
    <w:rsid w:val="009052DA"/>
    <w:rsid w:val="0091067B"/>
    <w:rsid w:val="0091538A"/>
    <w:rsid w:val="00923C2D"/>
    <w:rsid w:val="00937BA9"/>
    <w:rsid w:val="00983B18"/>
    <w:rsid w:val="009F0204"/>
    <w:rsid w:val="00A43976"/>
    <w:rsid w:val="00A671C4"/>
    <w:rsid w:val="00A70C34"/>
    <w:rsid w:val="00A81DEA"/>
    <w:rsid w:val="00AD2725"/>
    <w:rsid w:val="00AD32F7"/>
    <w:rsid w:val="00B6698E"/>
    <w:rsid w:val="00BB5A02"/>
    <w:rsid w:val="00BD269A"/>
    <w:rsid w:val="00C00456"/>
    <w:rsid w:val="00C22977"/>
    <w:rsid w:val="00C37ABA"/>
    <w:rsid w:val="00C62EEC"/>
    <w:rsid w:val="00C66016"/>
    <w:rsid w:val="00CC24A3"/>
    <w:rsid w:val="00CC7848"/>
    <w:rsid w:val="00CF1C94"/>
    <w:rsid w:val="00D614EC"/>
    <w:rsid w:val="00D63F02"/>
    <w:rsid w:val="00DC6761"/>
    <w:rsid w:val="00DC6DF7"/>
    <w:rsid w:val="00DE6095"/>
    <w:rsid w:val="00E215D3"/>
    <w:rsid w:val="00E21BC6"/>
    <w:rsid w:val="00E75BE9"/>
    <w:rsid w:val="00EC0317"/>
    <w:rsid w:val="00EF09D6"/>
    <w:rsid w:val="00F17B0C"/>
    <w:rsid w:val="00FF49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84BFE-4D9A-431E-A814-3A423422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838</Words>
  <Characters>4945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Placha</cp:lastModifiedBy>
  <cp:revision>15</cp:revision>
  <dcterms:created xsi:type="dcterms:W3CDTF">2021-05-07T11:17:00Z</dcterms:created>
  <dcterms:modified xsi:type="dcterms:W3CDTF">2021-07-07T12:13:00Z</dcterms:modified>
</cp:coreProperties>
</file>