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 xml:space="preserve">ich wykonania wewnątrz budynków mieszkalnych i </w:t>
      </w:r>
      <w:proofErr w:type="spellStart"/>
      <w:r w:rsidRPr="00B5787F">
        <w:rPr>
          <w:rFonts w:asciiTheme="minorHAnsi" w:hAnsiTheme="minorHAnsi" w:cs="Calibri"/>
          <w:b/>
          <w:sz w:val="22"/>
          <w:szCs w:val="22"/>
        </w:rPr>
        <w:t>mieszkalno</w:t>
      </w:r>
      <w:proofErr w:type="spellEnd"/>
      <w:r w:rsidRPr="00B5787F">
        <w:rPr>
          <w:rFonts w:asciiTheme="minorHAnsi" w:hAnsiTheme="minorHAnsi" w:cs="Calibri"/>
          <w:b/>
          <w:sz w:val="22"/>
          <w:szCs w:val="22"/>
        </w:rPr>
        <w:t xml:space="preserve"> – usługowych: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trHeight w:val="713"/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drzwi wejściowych do klatek schodowych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okien na klatkach schodowych oraz w innych pomieszczeniach wspólnego użytku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przez Wykonawcę odpadów powstałych w wyniku świadczenia usług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20"/>
        <w:gridCol w:w="10"/>
        <w:gridCol w:w="3252"/>
      </w:tblGrid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na lata 2021-2022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Sprzątanie papierów, butelek i innych nieczystości w obrębie muru obronnego, tj. ul. Rynek, ul. Wrocławska do Bramy Wrocławskiej, ul. Bociania, ul. Sejmowa do ul. 3 Maja 60, ul. Prusa, ul. Św. Jadwigi do ul. Lwowskiej 1, ul. Lwowska 1 do ul. Matejki, ul. Szkolna, ul. Rzemieślnicza 5a przez ul. Łużycką do Bramy Wrocławskiej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Listopada1/ ul. Lwowska 11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Listopada1/ ul. Lwowska 11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w terminie do 29.10.2021 r. oraz 31.05.2022 r.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Grabienie, zbieranie i wywóz opadłych liści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9162" w:type="dxa"/>
            <w:gridSpan w:val="4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Odśnieżanie oraz posypywanie mieszanką piaskowo-solną lub innymi środkami uzgodnionymi z Zamawiającym chodników, dojść do budynków, śmietników i innych obiektów użyteczności publicznej w tym dróg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dojazdowych i parkingów oraz w obrębie garaży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niezwłocznie po wystąpieniu opadów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 xml:space="preserve">W przypadku opadów ciągłych </w:t>
            </w: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lastRenderedPageBreak/>
              <w:t>odśnieżanie realizować co 1 godzinę.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oblodzenia z zewnętrznych ciągów komunikacyjnych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:rsidTr="00C7432A">
        <w:trPr>
          <w:trHeight w:val="997"/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 oraz placach fitness: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trHeight w:val="272"/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 detergentami, które mogą być stosowane. Usuwanie napisów, rysunków i zabrudzeń – doprowadzenie ich do czystości.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</w:t>
            </w:r>
            <w:r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razy w roku, w tym 1 mycie do końca X 2021 r., kolejne do końca  III , V, VII 2022r.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elewacji toalety przy ul. Wileńskiej w Oleśnicy detergentami, które mogą być stosowane. Usuwanie napisów, rysunków i zabrudzeń – doprowadzenie jej do czystości.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co najmniej 4 razy w roku, w tym 1 mycie do końca X 2021 r., kolejne do końca  III , V, VII 2022r.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Wymiana piasku w piaskownicach i na plażach placów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zabaw po okresie zimowym w zależności od warunków atmosferycznych, jednak nie później niż do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29.04.2022 r.*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1 raz w roku 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48.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Uzupełnianie piasku w piaskownicach i na plażach 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ul. Klonowej - park, ul. Daszyńskiego - park, ul. </w:t>
            </w:r>
            <w:proofErr w:type="spellStart"/>
            <w:r w:rsidRPr="00B5787F">
              <w:rPr>
                <w:rFonts w:asciiTheme="minorHAnsi" w:hAnsiTheme="minorHAnsi" w:cs="Calibri"/>
                <w:sz w:val="22"/>
                <w:szCs w:val="22"/>
              </w:rPr>
              <w:t>Sinapiusa</w:t>
            </w:r>
            <w:proofErr w:type="spellEnd"/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– postój taxi od budynku, ul. Antoniego Cieszyńskiego/3 Maja, ul. Adama Mickiewicza - park, ul. Wałowej, ul. Wały Jagiellońskie - park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*przed wymianą piasku należy usunąć dotychczasowy piasek z piaskownic i placów zabaw </w:t>
      </w:r>
      <w:r w:rsidRPr="00B5787F">
        <w:rPr>
          <w:rFonts w:asciiTheme="minorHAnsi" w:hAnsiTheme="minorHAnsi" w:cs="Calibri"/>
          <w:sz w:val="22"/>
          <w:szCs w:val="22"/>
        </w:rPr>
        <w:br/>
        <w:t xml:space="preserve">na głębokość 40 cm (do wysokości obrzeża, jednak nie mniej niż do wysokości fundamentów urządzeń) oraz oczyścić z wszelkiego rodzaju odpadów i wyrastającej trawy. Piasek </w:t>
      </w:r>
      <w:r w:rsidRPr="00B5787F">
        <w:rPr>
          <w:rFonts w:asciiTheme="minorHAnsi" w:hAnsiTheme="minorHAnsi" w:cs="Calibri"/>
          <w:sz w:val="22"/>
          <w:szCs w:val="22"/>
        </w:rPr>
        <w:br/>
        <w:t>do piaskownic powinien być atestowany i płukany, nadający się do piaskownic. Zamawiający określa ilość piasku do świadc</w:t>
      </w:r>
      <w:r w:rsidR="00FE5222">
        <w:rPr>
          <w:rFonts w:asciiTheme="minorHAnsi" w:hAnsiTheme="minorHAnsi" w:cs="Calibri"/>
          <w:sz w:val="22"/>
          <w:szCs w:val="22"/>
        </w:rPr>
        <w:t>zenia usługi określonej w pkt 47</w:t>
      </w:r>
      <w:r w:rsidRPr="00B5787F">
        <w:rPr>
          <w:rFonts w:asciiTheme="minorHAnsi" w:hAnsiTheme="minorHAnsi" w:cs="Calibri"/>
          <w:sz w:val="22"/>
          <w:szCs w:val="22"/>
        </w:rPr>
        <w:t xml:space="preserve"> oraz 4</w:t>
      </w:r>
      <w:r w:rsidR="00FE5222">
        <w:rPr>
          <w:rFonts w:asciiTheme="minorHAnsi" w:hAnsiTheme="minorHAnsi" w:cs="Calibri"/>
          <w:sz w:val="22"/>
          <w:szCs w:val="22"/>
        </w:rPr>
        <w:t>8</w:t>
      </w:r>
      <w:bookmarkStart w:id="0" w:name="_GoBack"/>
      <w:bookmarkEnd w:id="0"/>
      <w:r w:rsidRPr="00B5787F">
        <w:rPr>
          <w:rFonts w:asciiTheme="minorHAnsi" w:hAnsiTheme="minorHAnsi" w:cs="Calibri"/>
          <w:sz w:val="22"/>
          <w:szCs w:val="22"/>
        </w:rPr>
        <w:t xml:space="preserve"> maksymalnie do 1 000 ton (słownie: jeden tysiąc ton).</w:t>
      </w: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Po wymianie piasku Wykonawca zgłasza do odbioru usługę. Zamawiający protokolarnie rozliczy usługę.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wszelkich zauważonych awarii i usterek powstałych na sprzątanych terenach zewnętrznych i wewnętrznych oraz w budynkach mieszkalnych i mieszkalno-usługowych wykazanych w Załączniku nr 2 do niniejszej umowy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56.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E. Zakres  czynności w miejscowości Ligota Polska:</w:t>
      </w: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 xml:space="preserve">Wykonywanie czynności wymienionych w załączniku nr 1 pkt A,B,D do w/w Umowy </w:t>
      </w:r>
      <w:r w:rsidRPr="00B5787F">
        <w:rPr>
          <w:rFonts w:asciiTheme="minorHAnsi" w:hAnsiTheme="minorHAnsi" w:cs="Calibri"/>
          <w:b/>
          <w:sz w:val="22"/>
          <w:szCs w:val="22"/>
          <w:u w:val="single"/>
        </w:rPr>
        <w:br/>
        <w:t xml:space="preserve">oraz utrzymanie terenów zielonych tj. koszenie trawy, przycinanie krzewów minimum 6 razy </w:t>
      </w:r>
      <w:r w:rsidRPr="00B5787F">
        <w:rPr>
          <w:rFonts w:asciiTheme="minorHAnsi" w:hAnsiTheme="minorHAnsi" w:cs="Calibri"/>
          <w:b/>
          <w:sz w:val="22"/>
          <w:szCs w:val="22"/>
          <w:u w:val="single"/>
        </w:rPr>
        <w:br/>
        <w:t xml:space="preserve">w trakcie trwania umowy w tym 2 razy w roku 2021 i 4 razy w 2022 r.   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 itp.).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zimowego).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domowego (kategorycznie zabrania się zakłócania ciszy nocnej).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Czas reakcji na zgłoszenie od Zamawiającego wynosi do 1 godziny od zgłoszenia. Zgłoszenie odbywać się będzie drogą telefoniczną lub e-mailową.</w:t>
      </w: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FF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sectPr w:rsidR="00730F77" w:rsidRPr="00B5787F" w:rsidSect="00197AA4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05" w:rsidRDefault="00E60905">
      <w:r>
        <w:separator/>
      </w:r>
    </w:p>
  </w:endnote>
  <w:endnote w:type="continuationSeparator" w:id="0">
    <w:p w:rsidR="00E60905" w:rsidRDefault="00E6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FF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FE5222">
      <w:rPr>
        <w:rFonts w:ascii="Calibri" w:hAnsi="Calibri" w:cs="Calibri"/>
        <w:noProof/>
        <w:sz w:val="18"/>
        <w:szCs w:val="18"/>
      </w:rPr>
      <w:t>4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4B19FF" w:rsidRDefault="00E60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05" w:rsidRDefault="00E60905">
      <w:r>
        <w:separator/>
      </w:r>
    </w:p>
  </w:footnote>
  <w:footnote w:type="continuationSeparator" w:id="0">
    <w:p w:rsidR="00E60905" w:rsidRDefault="00E6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56"/>
    <w:rsid w:val="000F6E56"/>
    <w:rsid w:val="002029A9"/>
    <w:rsid w:val="00416D88"/>
    <w:rsid w:val="00730F77"/>
    <w:rsid w:val="00E60905"/>
    <w:rsid w:val="00F156CC"/>
    <w:rsid w:val="00F47610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1596</Words>
  <Characters>9580</Characters>
  <Application>Microsoft Office Word</Application>
  <DocSecurity>0</DocSecurity>
  <Lines>79</Lines>
  <Paragraphs>22</Paragraphs>
  <ScaleCrop>false</ScaleCrop>
  <Company/>
  <LinksUpToDate>false</LinksUpToDate>
  <CharactersWithSpaces>11154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Piotrowska</dc:creator>
  <cp:keywords/>
  <dc:description/>
  <cp:lastModifiedBy>Katarzyna Piotrowska</cp:lastModifiedBy>
  <cp:revision>5</cp:revision>
  <dcterms:created xsi:type="dcterms:W3CDTF">2021-07-14T07:59:00Z</dcterms:created>
  <dcterms:modified xsi:type="dcterms:W3CDTF">2021-07-23T07:33:00Z</dcterms:modified>
</cp:coreProperties>
</file>