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A32934" w14:paraId="77DE07F0" w14:textId="77777777" w:rsidTr="003C64F8">
        <w:tc>
          <w:tcPr>
            <w:tcW w:w="9067" w:type="dxa"/>
            <w:shd w:val="clear" w:color="auto" w:fill="DEEAF6" w:themeFill="accent1" w:themeFillTint="33"/>
          </w:tcPr>
          <w:p w14:paraId="7938172D" w14:textId="2BEA8FFC" w:rsidR="000345C6" w:rsidRPr="00A32934" w:rsidRDefault="00A32934"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A32934">
              <w:rPr>
                <w:rFonts w:ascii="Arial" w:eastAsiaTheme="minorHAnsi" w:hAnsi="Arial" w:cs="Arial"/>
                <w:b/>
                <w:bCs/>
                <w:sz w:val="32"/>
                <w:szCs w:val="32"/>
                <w:lang w:eastAsia="en-US"/>
              </w:rPr>
              <w:t>Obstaranie technického vybavenia pre SOŠ technickú</w:t>
            </w:r>
          </w:p>
        </w:tc>
      </w:tr>
    </w:tbl>
    <w:p w14:paraId="1BE3864A" w14:textId="77777777" w:rsidR="000345C6" w:rsidRPr="00A32934"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xml:space="preserve">- 116 a násl.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nasl.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2BE4ADAE" w14:textId="132B6D87" w:rsidR="003A46EA" w:rsidRPr="00B86620" w:rsidRDefault="004D5A72" w:rsidP="003A46EA">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B86620">
        <w:rPr>
          <w:rFonts w:ascii="Arial" w:eastAsia="Calibri" w:hAnsi="Arial" w:cs="Arial"/>
          <w:b/>
          <w:bCs/>
          <w:color w:val="000000"/>
          <w:sz w:val="20"/>
          <w:szCs w:val="20"/>
          <w:lang w:eastAsia="en-US"/>
        </w:rPr>
        <w:t xml:space="preserve">Názov verejného obstarávateľa:  </w:t>
      </w:r>
      <w:r w:rsidRPr="00B86620">
        <w:rPr>
          <w:rFonts w:ascii="Arial" w:eastAsia="Calibri" w:hAnsi="Arial" w:cs="Arial"/>
          <w:b/>
          <w:bCs/>
          <w:color w:val="000000"/>
          <w:sz w:val="20"/>
          <w:szCs w:val="20"/>
          <w:lang w:eastAsia="en-US"/>
        </w:rPr>
        <w:tab/>
      </w:r>
      <w:r w:rsidR="00B86620" w:rsidRPr="00B86620">
        <w:rPr>
          <w:rFonts w:ascii="Arial" w:eastAsiaTheme="minorHAnsi" w:hAnsi="Arial" w:cs="Arial"/>
          <w:b/>
          <w:bCs/>
          <w:sz w:val="20"/>
          <w:szCs w:val="20"/>
          <w:lang w:eastAsia="en-US"/>
        </w:rPr>
        <w:t>Stredná odborná škola technická</w:t>
      </w:r>
    </w:p>
    <w:p w14:paraId="4900F55A" w14:textId="7890C515" w:rsidR="004D5A72" w:rsidRPr="00B86620" w:rsidRDefault="004D5A72" w:rsidP="00B86620">
      <w:pPr>
        <w:autoSpaceDE w:val="0"/>
        <w:autoSpaceDN w:val="0"/>
        <w:adjustRightInd w:val="0"/>
        <w:spacing w:line="24" w:lineRule="atLeast"/>
        <w:ind w:firstLine="284"/>
        <w:rPr>
          <w:rFonts w:ascii="Arial" w:hAnsi="Arial" w:cs="Arial"/>
          <w:b/>
          <w:sz w:val="20"/>
          <w:szCs w:val="20"/>
        </w:rPr>
      </w:pPr>
      <w:r w:rsidRPr="00B86620">
        <w:rPr>
          <w:rFonts w:ascii="Arial" w:eastAsia="Calibri" w:hAnsi="Arial" w:cs="Arial"/>
          <w:sz w:val="20"/>
          <w:szCs w:val="20"/>
          <w:lang w:eastAsia="en-US"/>
        </w:rPr>
        <w:t xml:space="preserve">Sídlo: </w:t>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00B86620" w:rsidRPr="00B86620">
        <w:rPr>
          <w:rFonts w:ascii="Arial" w:eastAsiaTheme="minorHAnsi" w:hAnsi="Arial" w:cs="Arial"/>
          <w:sz w:val="20"/>
          <w:szCs w:val="20"/>
          <w:lang w:eastAsia="en-US"/>
        </w:rPr>
        <w:t>Volgogradská 1, 080 01 Prešov</w:t>
      </w:r>
      <w:r w:rsidR="003A46EA" w:rsidRPr="00B86620">
        <w:rPr>
          <w:rFonts w:ascii="Arial" w:eastAsia="Calibri" w:hAnsi="Arial" w:cs="Arial"/>
          <w:b/>
          <w:bCs/>
          <w:color w:val="000000"/>
          <w:sz w:val="20"/>
          <w:szCs w:val="20"/>
          <w:lang w:eastAsia="en-US"/>
        </w:rPr>
        <w:tab/>
      </w:r>
    </w:p>
    <w:p w14:paraId="44D1495F" w14:textId="357C8432" w:rsidR="004D5A72" w:rsidRPr="00B86620"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B86620">
        <w:rPr>
          <w:rFonts w:ascii="Arial" w:eastAsia="Calibri" w:hAnsi="Arial" w:cs="Arial"/>
          <w:sz w:val="20"/>
          <w:szCs w:val="20"/>
          <w:lang w:eastAsia="en-US"/>
        </w:rPr>
        <w:t xml:space="preserve">Štatutárny zástupca:  </w:t>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00B86620" w:rsidRPr="00B86620">
        <w:rPr>
          <w:rStyle w:val="Vrazn"/>
          <w:rFonts w:ascii="Arial" w:hAnsi="Arial" w:cs="Arial"/>
          <w:b w:val="0"/>
          <w:bCs w:val="0"/>
          <w:color w:val="000000"/>
          <w:sz w:val="20"/>
          <w:szCs w:val="20"/>
        </w:rPr>
        <w:t>Ing. Janka Galdunová,</w:t>
      </w:r>
      <w:r w:rsidRPr="00B86620">
        <w:rPr>
          <w:rFonts w:ascii="Arial" w:eastAsiaTheme="minorHAnsi" w:hAnsi="Arial" w:cs="Arial"/>
          <w:sz w:val="20"/>
          <w:szCs w:val="20"/>
          <w:lang w:eastAsia="en-US"/>
        </w:rPr>
        <w:t xml:space="preserve"> riaditeľ</w:t>
      </w:r>
      <w:r w:rsidR="00B86620" w:rsidRPr="00B86620">
        <w:rPr>
          <w:rFonts w:ascii="Arial" w:eastAsiaTheme="minorHAnsi" w:hAnsi="Arial" w:cs="Arial"/>
          <w:sz w:val="20"/>
          <w:szCs w:val="20"/>
          <w:lang w:eastAsia="en-US"/>
        </w:rPr>
        <w:t>ka</w:t>
      </w:r>
      <w:r w:rsidRPr="00B86620">
        <w:rPr>
          <w:rFonts w:ascii="Arial" w:eastAsiaTheme="minorHAnsi" w:hAnsi="Arial" w:cs="Arial"/>
          <w:sz w:val="20"/>
          <w:szCs w:val="20"/>
          <w:lang w:eastAsia="en-US"/>
        </w:rPr>
        <w:t xml:space="preserve"> školy</w:t>
      </w:r>
    </w:p>
    <w:p w14:paraId="43D02387" w14:textId="2DD10C39" w:rsidR="002336FA" w:rsidRPr="00B86620" w:rsidRDefault="004D5A72" w:rsidP="002336FA">
      <w:pPr>
        <w:widowControl/>
        <w:suppressAutoHyphens w:val="0"/>
        <w:autoSpaceDE w:val="0"/>
        <w:autoSpaceDN w:val="0"/>
        <w:adjustRightInd w:val="0"/>
        <w:ind w:firstLine="273"/>
        <w:rPr>
          <w:rFonts w:ascii="Arial" w:eastAsiaTheme="minorHAnsi" w:hAnsi="Arial" w:cs="Arial"/>
          <w:sz w:val="20"/>
          <w:szCs w:val="20"/>
          <w:lang w:eastAsia="en-US"/>
        </w:rPr>
      </w:pPr>
      <w:r w:rsidRPr="00B86620">
        <w:rPr>
          <w:rFonts w:ascii="Arial" w:eastAsia="Calibri" w:hAnsi="Arial" w:cs="Arial"/>
          <w:sz w:val="20"/>
          <w:szCs w:val="20"/>
          <w:lang w:eastAsia="en-US"/>
        </w:rPr>
        <w:t>IČO:</w:t>
      </w:r>
      <w:r w:rsidRPr="00B86620">
        <w:rPr>
          <w:rFonts w:ascii="Arial" w:eastAsia="Calibri" w:hAnsi="Arial" w:cs="Arial"/>
          <w:sz w:val="20"/>
          <w:szCs w:val="20"/>
          <w:lang w:eastAsia="en-US"/>
        </w:rPr>
        <w:tab/>
        <w:t xml:space="preserve"> </w:t>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Pr="00B86620">
        <w:rPr>
          <w:rFonts w:ascii="Arial" w:eastAsia="Calibri" w:hAnsi="Arial" w:cs="Arial"/>
          <w:sz w:val="20"/>
          <w:szCs w:val="20"/>
          <w:lang w:eastAsia="en-US"/>
        </w:rPr>
        <w:tab/>
      </w:r>
      <w:r w:rsidR="00B86620" w:rsidRPr="00B86620">
        <w:rPr>
          <w:rFonts w:ascii="Arial" w:eastAsiaTheme="minorHAnsi" w:hAnsi="Arial" w:cs="Arial"/>
          <w:sz w:val="20"/>
          <w:szCs w:val="20"/>
          <w:lang w:eastAsia="en-US"/>
        </w:rPr>
        <w:t>00893251</w:t>
      </w:r>
    </w:p>
    <w:p w14:paraId="469F712E" w14:textId="01C291CC" w:rsidR="000345C6" w:rsidRPr="00B86620" w:rsidRDefault="004D5A72" w:rsidP="00B86620">
      <w:pPr>
        <w:widowControl/>
        <w:suppressAutoHyphens w:val="0"/>
        <w:autoSpaceDE w:val="0"/>
        <w:autoSpaceDN w:val="0"/>
        <w:adjustRightInd w:val="0"/>
        <w:ind w:firstLine="273"/>
        <w:rPr>
          <w:rFonts w:ascii="Arial" w:eastAsiaTheme="minorHAnsi" w:hAnsi="Arial" w:cs="Arial"/>
          <w:sz w:val="20"/>
          <w:szCs w:val="20"/>
          <w:lang w:eastAsia="en-US"/>
        </w:rPr>
      </w:pPr>
      <w:r w:rsidRPr="00B86620">
        <w:rPr>
          <w:rFonts w:ascii="Arial" w:eastAsiaTheme="minorHAnsi" w:hAnsi="Arial" w:cs="Arial"/>
          <w:color w:val="000000"/>
          <w:sz w:val="20"/>
          <w:szCs w:val="20"/>
          <w:lang w:eastAsia="en-US"/>
        </w:rPr>
        <w:t xml:space="preserve">Adresa stránky profilu kupujúceho: </w:t>
      </w:r>
      <w:r w:rsidRPr="00B86620">
        <w:rPr>
          <w:rFonts w:ascii="Arial" w:eastAsiaTheme="minorHAnsi" w:hAnsi="Arial" w:cs="Arial"/>
          <w:color w:val="000000"/>
          <w:sz w:val="20"/>
          <w:szCs w:val="20"/>
          <w:lang w:eastAsia="en-US"/>
        </w:rPr>
        <w:tab/>
      </w:r>
      <w:hyperlink r:id="rId9" w:history="1">
        <w:r w:rsidR="00B86620" w:rsidRPr="00B86620">
          <w:rPr>
            <w:rStyle w:val="Hypertextovprepojenie"/>
            <w:rFonts w:ascii="Arial" w:eastAsiaTheme="minorHAnsi" w:hAnsi="Arial" w:cs="Arial"/>
            <w:sz w:val="20"/>
            <w:szCs w:val="20"/>
            <w:lang w:eastAsia="en-US"/>
          </w:rPr>
          <w:t>https://www.uvo.gov.sk/vyhladavanie-profilov/zakazky/1756</w:t>
        </w:r>
      </w:hyperlink>
    </w:p>
    <w:p w14:paraId="03451517" w14:textId="77777777" w:rsidR="00B86620" w:rsidRPr="00B86620" w:rsidRDefault="00B86620" w:rsidP="00B86620">
      <w:pPr>
        <w:widowControl/>
        <w:suppressAutoHyphens w:val="0"/>
        <w:autoSpaceDE w:val="0"/>
        <w:autoSpaceDN w:val="0"/>
        <w:adjustRightInd w:val="0"/>
        <w:ind w:firstLine="273"/>
        <w:rPr>
          <w:rFonts w:ascii="Arial" w:eastAsiaTheme="minorHAnsi" w:hAnsi="Arial" w:cs="Arial"/>
          <w:sz w:val="20"/>
          <w:szCs w:val="20"/>
          <w:lang w:eastAsia="en-US"/>
        </w:rPr>
      </w:pPr>
    </w:p>
    <w:p w14:paraId="4EBCC0DC" w14:textId="77777777" w:rsidR="00B86620" w:rsidRPr="00257957" w:rsidRDefault="00B86620"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363324A1" w:rsidR="000345C6" w:rsidRPr="00A32934" w:rsidRDefault="00B86620" w:rsidP="003A46EA">
            <w:pPr>
              <w:widowControl/>
              <w:suppressAutoHyphens w:val="0"/>
              <w:autoSpaceDE w:val="0"/>
              <w:autoSpaceDN w:val="0"/>
              <w:adjustRightInd w:val="0"/>
              <w:jc w:val="both"/>
              <w:rPr>
                <w:rFonts w:ascii="Arial" w:hAnsi="Arial" w:cs="Arial"/>
                <w:b/>
                <w:bCs/>
                <w:i/>
                <w:iCs/>
                <w:sz w:val="20"/>
                <w:szCs w:val="20"/>
              </w:rPr>
            </w:pPr>
            <w:bookmarkStart w:id="0" w:name="_Hlk79493455"/>
            <w:r w:rsidRPr="00A32934">
              <w:rPr>
                <w:rFonts w:ascii="Arial" w:eastAsiaTheme="minorHAnsi" w:hAnsi="Arial" w:cs="Arial"/>
                <w:b/>
                <w:bCs/>
                <w:sz w:val="20"/>
                <w:szCs w:val="20"/>
                <w:lang w:eastAsia="en-US"/>
              </w:rPr>
              <w:t>Obstaranie technického vybavenia</w:t>
            </w:r>
            <w:r w:rsidR="00A32934" w:rsidRPr="00A32934">
              <w:rPr>
                <w:rFonts w:ascii="Arial" w:eastAsiaTheme="minorHAnsi" w:hAnsi="Arial" w:cs="Arial"/>
                <w:b/>
                <w:bCs/>
                <w:sz w:val="20"/>
                <w:szCs w:val="20"/>
                <w:lang w:eastAsia="en-US"/>
              </w:rPr>
              <w:t xml:space="preserve"> pre </w:t>
            </w:r>
            <w:r w:rsidR="00A32934" w:rsidRPr="00A32934">
              <w:rPr>
                <w:rFonts w:ascii="Arial" w:eastAsiaTheme="minorHAnsi" w:hAnsi="Arial" w:cs="Arial"/>
                <w:b/>
                <w:bCs/>
                <w:sz w:val="20"/>
                <w:szCs w:val="20"/>
                <w:lang w:eastAsia="en-US"/>
              </w:rPr>
              <w:t>SOŠ technickú</w:t>
            </w:r>
            <w:bookmarkEnd w:id="0"/>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48A28000" w14:textId="1D154C34" w:rsidR="00B86620" w:rsidRPr="0014413E" w:rsidRDefault="00C7645B" w:rsidP="00C7645B">
            <w:pPr>
              <w:widowControl/>
              <w:suppressAutoHyphens w:val="0"/>
              <w:autoSpaceDE w:val="0"/>
              <w:autoSpaceDN w:val="0"/>
              <w:adjustRightInd w:val="0"/>
              <w:jc w:val="both"/>
              <w:rPr>
                <w:rFonts w:ascii="Arial" w:eastAsiaTheme="minorHAnsi" w:hAnsi="Arial" w:cs="Arial"/>
                <w:sz w:val="20"/>
                <w:szCs w:val="20"/>
                <w:lang w:eastAsia="en-US"/>
              </w:rPr>
            </w:pPr>
            <w:r w:rsidRPr="0014413E">
              <w:rPr>
                <w:rFonts w:ascii="Arial" w:eastAsiaTheme="minorHAnsi" w:hAnsi="Arial" w:cs="Arial"/>
                <w:sz w:val="20"/>
                <w:szCs w:val="20"/>
                <w:lang w:eastAsia="en-US"/>
              </w:rPr>
              <w:t xml:space="preserve">Predmetom zákazky je </w:t>
            </w:r>
            <w:r w:rsidR="00B86620" w:rsidRPr="00B86620">
              <w:rPr>
                <w:rFonts w:ascii="Arial" w:eastAsiaTheme="minorHAnsi" w:hAnsi="Arial" w:cs="Arial"/>
                <w:b/>
                <w:bCs/>
                <w:sz w:val="20"/>
                <w:szCs w:val="20"/>
                <w:lang w:eastAsia="en-US"/>
              </w:rPr>
              <w:t>Obstaranie technického vybavenia</w:t>
            </w:r>
            <w:r w:rsidR="002336FA" w:rsidRPr="0014413E">
              <w:rPr>
                <w:rFonts w:ascii="Arial" w:eastAsiaTheme="minorHAnsi" w:hAnsi="Arial" w:cs="Arial"/>
                <w:sz w:val="20"/>
                <w:szCs w:val="20"/>
                <w:lang w:eastAsia="en-US"/>
              </w:rPr>
              <w:t>.</w:t>
            </w:r>
          </w:p>
          <w:p w14:paraId="557E535E" w14:textId="4F6AED39"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C7645B">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7BBDDE56" w14:textId="0FD84AA4" w:rsidR="002336FA" w:rsidRPr="003649CF" w:rsidRDefault="00B86620" w:rsidP="00A05F86">
      <w:pPr>
        <w:tabs>
          <w:tab w:val="left" w:pos="1276"/>
        </w:tabs>
        <w:autoSpaceDE w:val="0"/>
        <w:autoSpaceDN w:val="0"/>
        <w:adjustRightInd w:val="0"/>
        <w:rPr>
          <w:rFonts w:ascii="Arial" w:eastAsiaTheme="minorHAnsi" w:hAnsi="Arial" w:cs="Arial"/>
          <w:sz w:val="20"/>
          <w:szCs w:val="20"/>
          <w:lang w:eastAsia="en-US"/>
        </w:rPr>
      </w:pPr>
      <w:r w:rsidRPr="00B86620">
        <w:rPr>
          <w:rFonts w:ascii="Arial" w:eastAsiaTheme="minorHAnsi" w:hAnsi="Arial" w:cs="Arial"/>
          <w:sz w:val="20"/>
          <w:szCs w:val="20"/>
          <w:lang w:eastAsia="en-US"/>
        </w:rPr>
        <w:t>39162200-7</w:t>
      </w:r>
      <w:r w:rsidRPr="003649CF">
        <w:rPr>
          <w:rFonts w:ascii="Arial" w:hAnsi="Arial" w:cs="Arial"/>
          <w:sz w:val="20"/>
          <w:szCs w:val="20"/>
        </w:rPr>
        <w:t xml:space="preserve"> </w:t>
      </w:r>
      <w:r w:rsidRPr="00B86620">
        <w:rPr>
          <w:rFonts w:ascii="Arial" w:hAnsi="Arial" w:cs="Arial"/>
          <w:sz w:val="20"/>
          <w:szCs w:val="20"/>
        </w:rPr>
        <w:t>Učebné pomôcky a zariadenia</w:t>
      </w:r>
    </w:p>
    <w:p w14:paraId="216A11B8" w14:textId="52DCCD54" w:rsidR="002B228B" w:rsidRPr="003649CF" w:rsidRDefault="000345C6" w:rsidP="00A05F86">
      <w:pPr>
        <w:tabs>
          <w:tab w:val="left" w:pos="1276"/>
        </w:tabs>
        <w:autoSpaceDE w:val="0"/>
        <w:autoSpaceDN w:val="0"/>
        <w:adjustRightInd w:val="0"/>
        <w:rPr>
          <w:rFonts w:ascii="Arial" w:hAnsi="Arial" w:cs="Arial"/>
          <w:bCs/>
          <w:sz w:val="20"/>
          <w:szCs w:val="20"/>
        </w:rPr>
      </w:pPr>
      <w:r w:rsidRPr="003649CF">
        <w:rPr>
          <w:rFonts w:ascii="Arial" w:hAnsi="Arial" w:cs="Arial"/>
          <w:bCs/>
          <w:sz w:val="20"/>
          <w:szCs w:val="20"/>
        </w:rPr>
        <w:tab/>
      </w:r>
    </w:p>
    <w:p w14:paraId="5BE39889" w14:textId="6E620197" w:rsidR="000345C6" w:rsidRPr="0064755C" w:rsidRDefault="000345C6" w:rsidP="000345C6">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350B7B06"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A32934" w:rsidRPr="00A32934">
        <w:rPr>
          <w:rFonts w:ascii="Arial" w:eastAsiaTheme="minorHAnsi" w:hAnsi="Arial" w:cs="Arial"/>
          <w:b/>
          <w:bCs/>
          <w:sz w:val="20"/>
          <w:szCs w:val="20"/>
          <w:lang w:eastAsia="en-US"/>
        </w:rPr>
        <w:t>213 961,60</w:t>
      </w:r>
      <w:r w:rsidR="00A32934" w:rsidRPr="002336FA">
        <w:rPr>
          <w:rFonts w:ascii="Arial" w:eastAsiaTheme="minorHAnsi" w:hAnsi="Arial" w:cs="Arial"/>
          <w:b/>
          <w:bCs/>
          <w:sz w:val="20"/>
          <w:szCs w:val="20"/>
          <w:lang w:eastAsia="en-US"/>
        </w:rPr>
        <w:t xml:space="preserve"> </w:t>
      </w:r>
      <w:r w:rsidRPr="002336FA">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13784F2B" w14:textId="031856E5" w:rsidR="00F37CE8" w:rsidRPr="00F37CE8" w:rsidRDefault="00F37CE8" w:rsidP="00F37CE8">
      <w:pPr>
        <w:autoSpaceDE w:val="0"/>
        <w:autoSpaceDN w:val="0"/>
        <w:adjustRightInd w:val="0"/>
        <w:spacing w:line="24" w:lineRule="atLeast"/>
        <w:ind w:firstLine="567"/>
        <w:rPr>
          <w:rFonts w:ascii="Arial" w:eastAsia="Calibri" w:hAnsi="Arial" w:cs="Arial"/>
          <w:b/>
          <w:bCs/>
          <w:color w:val="000000"/>
          <w:sz w:val="20"/>
          <w:szCs w:val="20"/>
          <w:lang w:eastAsia="en-US"/>
        </w:rPr>
      </w:pPr>
      <w:r w:rsidRPr="00F37CE8">
        <w:rPr>
          <w:rFonts w:ascii="Arial" w:eastAsiaTheme="minorHAnsi" w:hAnsi="Arial" w:cs="Arial"/>
          <w:b/>
          <w:bCs/>
          <w:sz w:val="20"/>
          <w:szCs w:val="20"/>
          <w:lang w:eastAsia="en-US"/>
        </w:rPr>
        <w:t>Stredná odborná škola technická, Volgogradská 1, 080 01 Prešov</w:t>
      </w:r>
    </w:p>
    <w:p w14:paraId="01C27C43" w14:textId="5E5ACF89"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B86620">
        <w:rPr>
          <w:rFonts w:ascii="Arial" w:hAnsi="Arial" w:cs="Arial"/>
          <w:b/>
          <w:bCs/>
          <w:color w:val="000000" w:themeColor="text1"/>
          <w:sz w:val="20"/>
          <w:szCs w:val="20"/>
        </w:rPr>
        <w:t>3</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74C5C19F"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F37CE8" w:rsidRPr="00F37CE8">
        <w:rPr>
          <w:rFonts w:ascii="Arial" w:eastAsiaTheme="minorHAnsi" w:hAnsi="Arial" w:cs="Arial"/>
          <w:b/>
          <w:bCs/>
          <w:sz w:val="20"/>
          <w:szCs w:val="20"/>
          <w:lang w:eastAsia="en-US"/>
        </w:rPr>
        <w:t>302021M652</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672665A4"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2336FA">
        <w:rPr>
          <w:rFonts w:ascii="Arial" w:hAnsi="Arial" w:cs="Arial"/>
          <w:b/>
          <w:sz w:val="20"/>
          <w:szCs w:val="20"/>
        </w:rPr>
        <w:t>0</w:t>
      </w:r>
      <w:r w:rsidR="00A32934">
        <w:rPr>
          <w:rFonts w:ascii="Arial" w:hAnsi="Arial" w:cs="Arial"/>
          <w:b/>
          <w:sz w:val="20"/>
          <w:szCs w:val="20"/>
        </w:rPr>
        <w:t>3</w:t>
      </w:r>
      <w:r w:rsidRPr="001E058D">
        <w:rPr>
          <w:rFonts w:ascii="Arial" w:hAnsi="Arial" w:cs="Arial"/>
          <w:b/>
          <w:sz w:val="20"/>
          <w:szCs w:val="20"/>
        </w:rPr>
        <w:t>.20</w:t>
      </w:r>
      <w:r w:rsidR="001E058D" w:rsidRPr="001E058D">
        <w:rPr>
          <w:rFonts w:ascii="Arial" w:hAnsi="Arial" w:cs="Arial"/>
          <w:b/>
          <w:sz w:val="20"/>
          <w:szCs w:val="20"/>
        </w:rPr>
        <w:t>2</w:t>
      </w:r>
      <w:r w:rsidR="00A32934">
        <w:rPr>
          <w:rFonts w:ascii="Arial" w:hAnsi="Arial" w:cs="Arial"/>
          <w:b/>
          <w:sz w:val="20"/>
          <w:szCs w:val="20"/>
        </w:rPr>
        <w:t>2</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Mozilla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Microsoft Edge</w:t>
      </w:r>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6E61FAC8" w14:textId="68FE1F3B" w:rsidR="00C7645B" w:rsidRPr="0014413E" w:rsidRDefault="000345C6" w:rsidP="0014413E">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7C5A0381" w14:textId="09FC5769" w:rsidR="00F37CE8" w:rsidRPr="002336FA" w:rsidRDefault="00D1773E" w:rsidP="001E058D">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r w:rsidRPr="00D1773E">
        <w:rPr>
          <w:rStyle w:val="Hypertextovprepojenie"/>
          <w:rFonts w:ascii="Arial" w:eastAsiaTheme="minorHAnsi" w:hAnsi="Arial" w:cs="Arial"/>
          <w:b/>
          <w:bCs/>
          <w:sz w:val="20"/>
          <w:szCs w:val="20"/>
          <w:lang w:eastAsia="en-US"/>
        </w:rPr>
        <w:t>https://josephine.proebiz.com/sk/tender/13858/summary</w:t>
      </w:r>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1143BEF4" w:rsid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83721B">
        <w:rPr>
          <w:rFonts w:ascii="Arial" w:hAnsi="Arial" w:cs="Arial"/>
          <w:b/>
          <w:bCs/>
          <w:color w:val="000000" w:themeColor="text1"/>
          <w:sz w:val="20"/>
          <w:szCs w:val="20"/>
        </w:rPr>
        <w:t xml:space="preserve">VO </w:t>
      </w:r>
      <w:r w:rsidR="0083721B" w:rsidRPr="0083721B">
        <w:rPr>
          <w:rFonts w:ascii="Arial" w:hAnsi="Arial" w:cs="Arial"/>
          <w:b/>
          <w:bCs/>
          <w:color w:val="000000" w:themeColor="text1"/>
          <w:sz w:val="20"/>
          <w:szCs w:val="20"/>
        </w:rPr>
        <w:t xml:space="preserve">č. </w:t>
      </w:r>
      <w:r w:rsidR="0083721B" w:rsidRPr="0083721B">
        <w:rPr>
          <w:rFonts w:ascii="Arial" w:eastAsia="Calibri" w:hAnsi="Arial" w:cs="Arial"/>
          <w:b/>
          <w:sz w:val="20"/>
          <w:szCs w:val="20"/>
          <w:lang w:eastAsia="en-US"/>
        </w:rPr>
        <w:t>187/2021 – 10.08.2021</w:t>
      </w:r>
      <w:r w:rsidR="0083721B" w:rsidRPr="0083721B">
        <w:rPr>
          <w:rFonts w:ascii="Arial" w:eastAsia="Calibri" w:hAnsi="Arial" w:cs="Arial"/>
          <w:b/>
          <w:color w:val="000000"/>
          <w:sz w:val="20"/>
          <w:szCs w:val="20"/>
          <w:lang w:eastAsia="en-US"/>
        </w:rPr>
        <w:t xml:space="preserve">, zn. </w:t>
      </w:r>
      <w:r w:rsidR="0083721B" w:rsidRPr="0083721B">
        <w:rPr>
          <w:rFonts w:ascii="Arial" w:hAnsi="Arial" w:cs="Arial"/>
          <w:b/>
          <w:bCs/>
          <w:sz w:val="20"/>
          <w:szCs w:val="20"/>
          <w:lang w:eastAsia="sk-SK"/>
        </w:rPr>
        <w:t>40631</w:t>
      </w:r>
      <w:r w:rsidR="0083721B" w:rsidRPr="0083721B">
        <w:rPr>
          <w:rFonts w:ascii="Arial" w:eastAsia="Calibri" w:hAnsi="Arial" w:cs="Arial"/>
          <w:b/>
          <w:bCs/>
          <w:color w:val="000000"/>
          <w:sz w:val="20"/>
          <w:szCs w:val="20"/>
          <w:lang w:eastAsia="en-US"/>
        </w:rPr>
        <w:t xml:space="preserve"> - WYT</w:t>
      </w:r>
      <w:r w:rsidR="0083721B">
        <w:rPr>
          <w:rFonts w:ascii="Arial" w:hAnsi="Arial" w:cs="Arial"/>
          <w:sz w:val="20"/>
          <w:szCs w:val="20"/>
        </w:rPr>
        <w:t xml:space="preserve"> </w:t>
      </w:r>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0"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má možnosť registrovať/autentifikovať sa do systému JOSEPHINE pomocou hesla aj pomocou občianskeho preukazu s elektronickým čipom a bezpečnostným osobnostným kódom (eID).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1"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vo formáte xls,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43DE8354" w14:textId="3BCCE29F" w:rsidR="002336FA" w:rsidRPr="0014413E" w:rsidRDefault="000345C6" w:rsidP="0014413E">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p w14:paraId="525F6330" w14:textId="4FBA8BEA" w:rsidR="00D1773E" w:rsidRPr="00D1773E" w:rsidRDefault="00D1773E" w:rsidP="00F37CE8">
      <w:pPr>
        <w:pStyle w:val="Zarkazkladnhotextu21"/>
        <w:ind w:left="567" w:firstLine="77"/>
        <w:rPr>
          <w:rFonts w:ascii="Arial" w:eastAsiaTheme="minorHAnsi" w:hAnsi="Arial" w:cs="Arial"/>
          <w:b/>
          <w:bCs/>
          <w:sz w:val="20"/>
          <w:szCs w:val="20"/>
          <w:lang w:eastAsia="en-US"/>
        </w:rPr>
      </w:pPr>
      <w:hyperlink r:id="rId12" w:history="1">
        <w:r w:rsidRPr="00D1773E">
          <w:rPr>
            <w:rStyle w:val="Hypertextovprepojenie"/>
            <w:rFonts w:ascii="Arial" w:eastAsiaTheme="minorHAnsi" w:hAnsi="Arial" w:cs="Arial"/>
            <w:b/>
            <w:bCs/>
            <w:sz w:val="20"/>
            <w:szCs w:val="20"/>
            <w:lang w:eastAsia="en-US"/>
          </w:rPr>
          <w:t>https://josephine.proebiz.com/sk/tender/13858/summary</w:t>
        </w:r>
      </w:hyperlink>
    </w:p>
    <w:p w14:paraId="16AC20DF" w14:textId="77777777" w:rsidR="00D1773E" w:rsidRPr="00D1773E" w:rsidRDefault="00D1773E" w:rsidP="00F37CE8">
      <w:pPr>
        <w:pStyle w:val="Zarkazkladnhotextu21"/>
        <w:ind w:left="567" w:firstLine="77"/>
        <w:rPr>
          <w:rFonts w:ascii="Arial" w:eastAsiaTheme="minorHAnsi" w:hAnsi="Arial" w:cs="Arial"/>
          <w:b/>
          <w:bCs/>
          <w:sz w:val="20"/>
          <w:szCs w:val="20"/>
          <w:lang w:eastAsia="en-US"/>
        </w:rPr>
      </w:pPr>
    </w:p>
    <w:p w14:paraId="58B4194A" w14:textId="0C1A882A" w:rsidR="000345C6" w:rsidRPr="0044743F" w:rsidRDefault="000345C6" w:rsidP="00F37CE8">
      <w:pPr>
        <w:pStyle w:val="Zarkazkladnhotextu21"/>
        <w:ind w:firstLine="284"/>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230379" w:rsidRDefault="000345C6" w:rsidP="007A1D74">
      <w:pPr>
        <w:numPr>
          <w:ilvl w:val="0"/>
          <w:numId w:val="9"/>
        </w:numPr>
        <w:tabs>
          <w:tab w:val="left" w:pos="567"/>
        </w:tabs>
        <w:ind w:left="567" w:hanging="567"/>
        <w:rPr>
          <w:rFonts w:ascii="Arial" w:hAnsi="Arial" w:cs="Arial"/>
          <w:b/>
          <w:bCs/>
          <w:caps/>
          <w:color w:val="2E74B5"/>
          <w:sz w:val="20"/>
          <w:szCs w:val="20"/>
        </w:rPr>
      </w:pPr>
      <w:r w:rsidRPr="00230379">
        <w:rPr>
          <w:rFonts w:ascii="Arial" w:hAnsi="Arial" w:cs="Arial"/>
          <w:b/>
          <w:bCs/>
          <w:caps/>
          <w:color w:val="2E74B5"/>
          <w:sz w:val="20"/>
          <w:szCs w:val="20"/>
        </w:rPr>
        <w:t>Otváranie ponúk</w:t>
      </w:r>
    </w:p>
    <w:p w14:paraId="61952559" w14:textId="77777777" w:rsidR="00C01B68" w:rsidRPr="00692996" w:rsidRDefault="00C01B68" w:rsidP="00C01B68">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1C6AC69" w14:textId="77777777" w:rsidR="00C01B68" w:rsidRPr="005B3DBE" w:rsidRDefault="00C01B68" w:rsidP="00C01B68">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2DD11342" w14:textId="77777777" w:rsidR="00C01B68" w:rsidRPr="00FD172E" w:rsidRDefault="00C01B68" w:rsidP="00C01B68">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48DCA005" w14:textId="77777777" w:rsidR="00C01B68" w:rsidRPr="00CD5D75" w:rsidRDefault="00C01B68" w:rsidP="00C01B68">
      <w:pPr>
        <w:ind w:left="567" w:hanging="567"/>
        <w:jc w:val="both"/>
        <w:rPr>
          <w:rFonts w:ascii="Arial" w:hAnsi="Arial" w:cs="Arial"/>
          <w:sz w:val="20"/>
          <w:szCs w:val="20"/>
        </w:rPr>
      </w:pPr>
      <w:r w:rsidRPr="00FD172E">
        <w:rPr>
          <w:rFonts w:ascii="Arial" w:hAnsi="Arial" w:cs="Arial"/>
          <w:sz w:val="20"/>
          <w:szCs w:val="20"/>
        </w:rPr>
        <w:t>24.</w:t>
      </w:r>
      <w:r>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52F3BFE0" w14:textId="77777777" w:rsidR="00C01B68" w:rsidRPr="00B062F3" w:rsidRDefault="00C01B68" w:rsidP="00C01B68">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61409734" w14:textId="11FD1726" w:rsidR="000345C6" w:rsidRDefault="000345C6" w:rsidP="000345C6">
      <w:pPr>
        <w:ind w:left="567"/>
        <w:jc w:val="both"/>
        <w:rPr>
          <w:rFonts w:ascii="Arial" w:hAnsi="Arial" w:cs="Arial"/>
          <w:color w:val="FF0000"/>
          <w:sz w:val="20"/>
          <w:szCs w:val="20"/>
        </w:rPr>
      </w:pPr>
    </w:p>
    <w:p w14:paraId="356DBD6F" w14:textId="77777777" w:rsidR="00C01B68" w:rsidRPr="002336FA" w:rsidRDefault="00C01B68"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ust.§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7BA50F2" w14:textId="6D1F921B" w:rsidR="00286B99" w:rsidRPr="00286B99" w:rsidRDefault="000345C6" w:rsidP="00286B99">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Schválenie zákazky v rámci  kontroly príslušným kontrolným orgánom je zároveň podmienkou nadobudnutia účinnosti zmluvy</w:t>
      </w:r>
      <w:r w:rsidR="00286B99">
        <w:rPr>
          <w:rFonts w:ascii="Arial" w:hAnsi="Arial" w:cs="Arial"/>
          <w:sz w:val="20"/>
          <w:szCs w:val="20"/>
        </w:rPr>
        <w:t xml:space="preserve"> </w:t>
      </w:r>
      <w:r w:rsidR="00286B99" w:rsidRPr="00286B99">
        <w:rPr>
          <w:rFonts w:ascii="Arial" w:hAnsi="Arial" w:cs="Arial"/>
          <w:sz w:val="20"/>
          <w:szCs w:val="20"/>
        </w:rPr>
        <w:t>(podrobné znenie odkladu účinnosti zmluvy je uvedená v návrhu „Zmluvy o dielo“).</w:t>
      </w:r>
    </w:p>
    <w:p w14:paraId="2F7BB422" w14:textId="77777777" w:rsidR="00286B99" w:rsidRPr="000952E1" w:rsidRDefault="00286B99" w:rsidP="00286B99">
      <w:pPr>
        <w:ind w:left="567"/>
        <w:jc w:val="both"/>
        <w:rPr>
          <w:rFonts w:ascii="Arial" w:hAnsi="Arial" w:cs="Arial"/>
          <w:sz w:val="20"/>
          <w:szCs w:val="20"/>
        </w:rPr>
      </w:pP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Zz.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6094690B"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6E2824" w:rsidRPr="0083721B">
        <w:rPr>
          <w:rFonts w:ascii="Arial" w:hAnsi="Arial" w:cs="Arial"/>
          <w:b/>
          <w:bCs/>
          <w:color w:val="000000" w:themeColor="text1"/>
          <w:sz w:val="20"/>
          <w:szCs w:val="20"/>
        </w:rPr>
        <w:t xml:space="preserve">č. </w:t>
      </w:r>
      <w:r w:rsidR="0083721B" w:rsidRPr="0083721B">
        <w:rPr>
          <w:rFonts w:ascii="Arial" w:eastAsia="Calibri" w:hAnsi="Arial" w:cs="Arial"/>
          <w:b/>
          <w:sz w:val="20"/>
          <w:szCs w:val="20"/>
          <w:lang w:eastAsia="en-US"/>
        </w:rPr>
        <w:t>187/2021 – 10.08.2021</w:t>
      </w:r>
      <w:r w:rsidR="0083721B" w:rsidRPr="0083721B">
        <w:rPr>
          <w:rFonts w:ascii="Arial" w:eastAsia="Calibri" w:hAnsi="Arial" w:cs="Arial"/>
          <w:b/>
          <w:color w:val="000000"/>
          <w:sz w:val="20"/>
          <w:szCs w:val="20"/>
          <w:lang w:eastAsia="en-US"/>
        </w:rPr>
        <w:t xml:space="preserve">, zn. </w:t>
      </w:r>
      <w:r w:rsidR="0083721B" w:rsidRPr="0083721B">
        <w:rPr>
          <w:rFonts w:ascii="Arial" w:hAnsi="Arial" w:cs="Arial"/>
          <w:b/>
          <w:bCs/>
          <w:sz w:val="20"/>
          <w:szCs w:val="20"/>
          <w:lang w:eastAsia="sk-SK"/>
        </w:rPr>
        <w:t>40631</w:t>
      </w:r>
      <w:r w:rsidR="0083721B" w:rsidRPr="0083721B">
        <w:rPr>
          <w:rFonts w:ascii="Arial" w:eastAsia="Calibri" w:hAnsi="Arial" w:cs="Arial"/>
          <w:b/>
          <w:bCs/>
          <w:color w:val="000000"/>
          <w:sz w:val="20"/>
          <w:szCs w:val="20"/>
          <w:lang w:eastAsia="en-US"/>
        </w:rPr>
        <w:t xml:space="preserve"> - WYT</w:t>
      </w:r>
      <w:r w:rsidR="0083721B">
        <w:rPr>
          <w:rFonts w:ascii="Arial" w:hAnsi="Arial" w:cs="Arial"/>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6FD3099E" w14:textId="77777777" w:rsidR="00840FE1" w:rsidRPr="0014413E" w:rsidRDefault="00840FE1" w:rsidP="00840FE1">
      <w:pPr>
        <w:widowControl/>
        <w:suppressAutoHyphens w:val="0"/>
        <w:autoSpaceDE w:val="0"/>
        <w:autoSpaceDN w:val="0"/>
        <w:adjustRightInd w:val="0"/>
        <w:jc w:val="both"/>
        <w:rPr>
          <w:rFonts w:ascii="Arial" w:eastAsiaTheme="minorHAnsi" w:hAnsi="Arial" w:cs="Arial"/>
          <w:sz w:val="20"/>
          <w:szCs w:val="20"/>
          <w:lang w:eastAsia="en-US"/>
        </w:rPr>
      </w:pPr>
      <w:r w:rsidRPr="0014413E">
        <w:rPr>
          <w:rFonts w:ascii="Arial" w:eastAsiaTheme="minorHAnsi" w:hAnsi="Arial" w:cs="Arial"/>
          <w:sz w:val="20"/>
          <w:szCs w:val="20"/>
          <w:lang w:eastAsia="en-US"/>
        </w:rPr>
        <w:t xml:space="preserve">Predmetom zákazky je </w:t>
      </w:r>
      <w:r w:rsidRPr="00B86620">
        <w:rPr>
          <w:rFonts w:ascii="Arial" w:eastAsiaTheme="minorHAnsi" w:hAnsi="Arial" w:cs="Arial"/>
          <w:b/>
          <w:bCs/>
          <w:sz w:val="20"/>
          <w:szCs w:val="20"/>
          <w:lang w:eastAsia="en-US"/>
        </w:rPr>
        <w:t>Obstaranie technického vybavenia</w:t>
      </w:r>
      <w:r w:rsidRPr="0014413E">
        <w:rPr>
          <w:rFonts w:ascii="Arial" w:eastAsiaTheme="minorHAnsi" w:hAnsi="Arial" w:cs="Arial"/>
          <w:sz w:val="20"/>
          <w:szCs w:val="20"/>
          <w:lang w:eastAsia="en-US"/>
        </w:rPr>
        <w:t>.</w:t>
      </w:r>
    </w:p>
    <w:p w14:paraId="4563E606" w14:textId="485995AE" w:rsidR="001B3DDD" w:rsidRPr="001B3DDD" w:rsidRDefault="00840FE1" w:rsidP="0000622E">
      <w:pPr>
        <w:widowControl/>
        <w:suppressAutoHyphens w:val="0"/>
        <w:autoSpaceDE w:val="0"/>
        <w:autoSpaceDN w:val="0"/>
        <w:adjustRightInd w:val="0"/>
        <w:jc w:val="both"/>
        <w:rPr>
          <w:rFonts w:ascii="Arial" w:hAnsi="Arial" w:cs="Arial"/>
          <w:sz w:val="20"/>
          <w:szCs w:val="20"/>
        </w:rPr>
      </w:pPr>
      <w:r w:rsidRPr="00C7645B">
        <w:rPr>
          <w:rFonts w:ascii="Arial" w:eastAsiaTheme="minorHAnsi" w:hAnsi="Arial" w:cs="Arial"/>
          <w:sz w:val="20"/>
          <w:szCs w:val="20"/>
          <w:lang w:eastAsia="en-US"/>
        </w:rPr>
        <w:t>Dodávka je zameraná na vybavenie odborných učební školy</w:t>
      </w:r>
      <w:r>
        <w:rPr>
          <w:rFonts w:ascii="Arial" w:eastAsiaTheme="minorHAnsi" w:hAnsi="Arial" w:cs="Arial"/>
          <w:sz w:val="20"/>
          <w:szCs w:val="20"/>
          <w:lang w:eastAsia="en-US"/>
        </w:rPr>
        <w:t xml:space="preserve">, </w:t>
      </w:r>
      <w:r w:rsidR="008D4522" w:rsidRPr="008D4522">
        <w:rPr>
          <w:rFonts w:ascii="Arial" w:eastAsiaTheme="minorHAnsi" w:hAnsi="Arial" w:cs="Arial"/>
          <w:sz w:val="20"/>
          <w:szCs w:val="20"/>
          <w:lang w:eastAsia="en-US"/>
        </w:rPr>
        <w:t>p</w:t>
      </w:r>
      <w:r w:rsidR="008D4522"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008D4522"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008D4522"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008D4522"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orgánu/ov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4B9A3C65"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Schválenie zákazky v rámci  kontroly príslušným kontrolným orgánom je zároveň podmienkou nadobudnutia účinnosti zmluvy</w:t>
      </w:r>
      <w:r w:rsidR="00286B99">
        <w:rPr>
          <w:rFonts w:ascii="Arial" w:hAnsi="Arial" w:cs="Arial"/>
          <w:sz w:val="20"/>
          <w:szCs w:val="20"/>
        </w:rPr>
        <w:t xml:space="preserve"> (podrobné znenie odkladu účinnosti zmluvy je uvedená v návrhu „Zmluvy o dielo“)</w:t>
      </w:r>
      <w:r w:rsidRPr="00C91118">
        <w:rPr>
          <w:rFonts w:ascii="Arial" w:hAnsi="Arial" w:cs="Arial"/>
          <w:sz w:val="20"/>
          <w:szCs w:val="20"/>
        </w:rPr>
        <w:t>.</w:t>
      </w:r>
    </w:p>
    <w:p w14:paraId="385A1DCF" w14:textId="37DA913F" w:rsidR="000345C6"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702F7E0" w14:textId="77777777" w:rsidR="0083721B" w:rsidRPr="0083721B" w:rsidRDefault="0083721B" w:rsidP="0083721B">
      <w:pPr>
        <w:jc w:val="both"/>
        <w:rPr>
          <w:rFonts w:ascii="Arial" w:hAnsi="Arial" w:cs="Arial"/>
          <w:sz w:val="20"/>
          <w:szCs w:val="20"/>
        </w:rPr>
      </w:pPr>
    </w:p>
    <w:p w14:paraId="256D23CA" w14:textId="70175EBC" w:rsidR="000345C6" w:rsidRPr="00666CB0" w:rsidRDefault="000345C6" w:rsidP="00286B99">
      <w:pPr>
        <w:jc w:val="center"/>
        <w:rPr>
          <w:rFonts w:ascii="Arial" w:hAnsi="Arial" w:cs="Arial"/>
          <w:b/>
          <w:bCs/>
          <w:caps/>
          <w:color w:val="2E74B5"/>
          <w:sz w:val="28"/>
          <w:szCs w:val="28"/>
        </w:rPr>
      </w:pPr>
      <w:r>
        <w:rPr>
          <w:rFonts w:ascii="Arial" w:hAnsi="Arial" w:cs="Arial"/>
          <w:b/>
          <w:bCs/>
          <w:sz w:val="28"/>
          <w:szCs w:val="28"/>
        </w:rPr>
        <w:br w:type="page"/>
      </w: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2"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2"/>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9812" w14:textId="77777777" w:rsidR="003F5EED" w:rsidRDefault="003F5EED">
      <w:r>
        <w:separator/>
      </w:r>
    </w:p>
  </w:endnote>
  <w:endnote w:type="continuationSeparator" w:id="0">
    <w:p w14:paraId="2B3E89F2" w14:textId="77777777" w:rsidR="003F5EED" w:rsidRDefault="003F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22907" w14:textId="77777777" w:rsidR="003F5EED" w:rsidRDefault="003F5EED">
      <w:r>
        <w:separator/>
      </w:r>
    </w:p>
  </w:footnote>
  <w:footnote w:type="continuationSeparator" w:id="0">
    <w:p w14:paraId="3A56A0C6" w14:textId="77777777" w:rsidR="003F5EED" w:rsidRDefault="003F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4363"/>
    <w:rsid w:val="0000622E"/>
    <w:rsid w:val="000345C6"/>
    <w:rsid w:val="00040A54"/>
    <w:rsid w:val="000663D9"/>
    <w:rsid w:val="00070419"/>
    <w:rsid w:val="000A5EA6"/>
    <w:rsid w:val="000B5E93"/>
    <w:rsid w:val="000C7011"/>
    <w:rsid w:val="000D7494"/>
    <w:rsid w:val="000E498D"/>
    <w:rsid w:val="00121F44"/>
    <w:rsid w:val="00142B35"/>
    <w:rsid w:val="0014413E"/>
    <w:rsid w:val="00161EEA"/>
    <w:rsid w:val="001B3DDD"/>
    <w:rsid w:val="001E02A0"/>
    <w:rsid w:val="001E058D"/>
    <w:rsid w:val="00227E53"/>
    <w:rsid w:val="00230379"/>
    <w:rsid w:val="002336FA"/>
    <w:rsid w:val="002426B1"/>
    <w:rsid w:val="00286B99"/>
    <w:rsid w:val="002B228B"/>
    <w:rsid w:val="002D2CF4"/>
    <w:rsid w:val="00316312"/>
    <w:rsid w:val="003649CF"/>
    <w:rsid w:val="00366AF9"/>
    <w:rsid w:val="003867EA"/>
    <w:rsid w:val="003A46EA"/>
    <w:rsid w:val="003B230B"/>
    <w:rsid w:val="003B7D62"/>
    <w:rsid w:val="003C64F8"/>
    <w:rsid w:val="003F5EED"/>
    <w:rsid w:val="00425C63"/>
    <w:rsid w:val="0044743F"/>
    <w:rsid w:val="00461892"/>
    <w:rsid w:val="00472122"/>
    <w:rsid w:val="00473B73"/>
    <w:rsid w:val="00494D82"/>
    <w:rsid w:val="004A0E2D"/>
    <w:rsid w:val="004D5A72"/>
    <w:rsid w:val="00515E1B"/>
    <w:rsid w:val="00530ED1"/>
    <w:rsid w:val="00594C89"/>
    <w:rsid w:val="005A42AE"/>
    <w:rsid w:val="005C0552"/>
    <w:rsid w:val="005C3BE7"/>
    <w:rsid w:val="005E2596"/>
    <w:rsid w:val="005E286C"/>
    <w:rsid w:val="0063739C"/>
    <w:rsid w:val="006D2C53"/>
    <w:rsid w:val="006E2824"/>
    <w:rsid w:val="006F4BB1"/>
    <w:rsid w:val="007425D4"/>
    <w:rsid w:val="00753CA9"/>
    <w:rsid w:val="00755B57"/>
    <w:rsid w:val="00791028"/>
    <w:rsid w:val="007A1D74"/>
    <w:rsid w:val="007F5114"/>
    <w:rsid w:val="00813B26"/>
    <w:rsid w:val="00821555"/>
    <w:rsid w:val="0083721B"/>
    <w:rsid w:val="00840FE1"/>
    <w:rsid w:val="00856871"/>
    <w:rsid w:val="00860354"/>
    <w:rsid w:val="008734DC"/>
    <w:rsid w:val="008C1B35"/>
    <w:rsid w:val="008D4522"/>
    <w:rsid w:val="008F6790"/>
    <w:rsid w:val="00916903"/>
    <w:rsid w:val="009A4CCD"/>
    <w:rsid w:val="009B03C0"/>
    <w:rsid w:val="00A05F86"/>
    <w:rsid w:val="00A32934"/>
    <w:rsid w:val="00A47D10"/>
    <w:rsid w:val="00AB49CC"/>
    <w:rsid w:val="00AD03A7"/>
    <w:rsid w:val="00AD2022"/>
    <w:rsid w:val="00B06FA6"/>
    <w:rsid w:val="00B35956"/>
    <w:rsid w:val="00B45FF7"/>
    <w:rsid w:val="00B64193"/>
    <w:rsid w:val="00B672BA"/>
    <w:rsid w:val="00B81C78"/>
    <w:rsid w:val="00B849F3"/>
    <w:rsid w:val="00B86620"/>
    <w:rsid w:val="00B9217B"/>
    <w:rsid w:val="00BB16D4"/>
    <w:rsid w:val="00BC2C2F"/>
    <w:rsid w:val="00C01B68"/>
    <w:rsid w:val="00C7645B"/>
    <w:rsid w:val="00CB4621"/>
    <w:rsid w:val="00CD5D75"/>
    <w:rsid w:val="00CE506D"/>
    <w:rsid w:val="00CE65E2"/>
    <w:rsid w:val="00CE73A0"/>
    <w:rsid w:val="00CF037C"/>
    <w:rsid w:val="00D1773E"/>
    <w:rsid w:val="00D17EAA"/>
    <w:rsid w:val="00D43FCF"/>
    <w:rsid w:val="00D67639"/>
    <w:rsid w:val="00D9229E"/>
    <w:rsid w:val="00DA6A96"/>
    <w:rsid w:val="00E16090"/>
    <w:rsid w:val="00E612E2"/>
    <w:rsid w:val="00E64408"/>
    <w:rsid w:val="00EA3E8D"/>
    <w:rsid w:val="00ED101B"/>
    <w:rsid w:val="00F16D1B"/>
    <w:rsid w:val="00F2309C"/>
    <w:rsid w:val="00F37CE8"/>
    <w:rsid w:val="00F47E47"/>
    <w:rsid w:val="00F63A9F"/>
    <w:rsid w:val="00F9069F"/>
    <w:rsid w:val="00FA5D20"/>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22"/>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3858/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zakazky/1756"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17</Pages>
  <Words>7232</Words>
  <Characters>41226</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Artur Benes</cp:lastModifiedBy>
  <cp:revision>76</cp:revision>
  <cp:lastPrinted>2019-05-07T13:12:00Z</cp:lastPrinted>
  <dcterms:created xsi:type="dcterms:W3CDTF">2019-02-28T00:25:00Z</dcterms:created>
  <dcterms:modified xsi:type="dcterms:W3CDTF">2021-08-10T11:34:00Z</dcterms:modified>
</cp:coreProperties>
</file>