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9C7E" w14:textId="77777777" w:rsidR="00C23248" w:rsidRDefault="00C23248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7C5DB0B2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30F8C4D2" w:rsidR="00715D53" w:rsidRPr="00715D53" w:rsidRDefault="00F616C2" w:rsidP="006E3747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6E3747" w:rsidRPr="006E3747">
        <w:rPr>
          <w:rFonts w:ascii="Times New Roman" w:hAnsi="Times New Roman"/>
          <w:b/>
          <w:bCs/>
          <w:sz w:val="24"/>
          <w:szCs w:val="24"/>
        </w:rPr>
        <w:t xml:space="preserve">Dodanie </w:t>
      </w:r>
      <w:r w:rsidR="00377A00">
        <w:rPr>
          <w:rFonts w:ascii="Times New Roman" w:hAnsi="Times New Roman"/>
          <w:b/>
          <w:bCs/>
          <w:sz w:val="24"/>
          <w:szCs w:val="24"/>
        </w:rPr>
        <w:t>televízorov</w:t>
      </w:r>
      <w:r w:rsidR="006E3747" w:rsidRPr="006E3747">
        <w:rPr>
          <w:rFonts w:ascii="Times New Roman" w:hAnsi="Times New Roman"/>
          <w:b/>
          <w:bCs/>
          <w:sz w:val="24"/>
          <w:szCs w:val="24"/>
        </w:rPr>
        <w:t xml:space="preserve"> pre potreby </w:t>
      </w:r>
      <w:r w:rsidR="006E3747">
        <w:rPr>
          <w:rFonts w:ascii="Times New Roman" w:hAnsi="Times New Roman"/>
          <w:b/>
          <w:bCs/>
          <w:sz w:val="24"/>
          <w:szCs w:val="24"/>
        </w:rPr>
        <w:t xml:space="preserve">jednotlivých </w:t>
      </w:r>
      <w:r w:rsidR="006E3747" w:rsidRPr="006E3747">
        <w:rPr>
          <w:rFonts w:ascii="Times New Roman" w:hAnsi="Times New Roman"/>
          <w:b/>
          <w:bCs/>
          <w:sz w:val="24"/>
          <w:szCs w:val="24"/>
        </w:rPr>
        <w:t>stredísk organizácie</w:t>
      </w:r>
      <w:r w:rsidR="006E3747">
        <w:rPr>
          <w:rFonts w:ascii="Times New Roman" w:hAnsi="Times New Roman"/>
          <w:sz w:val="24"/>
          <w:szCs w:val="24"/>
        </w:rPr>
        <w:t xml:space="preserve"> 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30DDA8AC" w14:textId="138886FA" w:rsidR="00377A00" w:rsidRPr="0078375A" w:rsidRDefault="0078375A" w:rsidP="00715D53">
      <w:pPr>
        <w:ind w:left="426"/>
        <w:rPr>
          <w:rFonts w:ascii="Times New Roman" w:hAnsi="Times New Roman"/>
          <w:sz w:val="24"/>
          <w:szCs w:val="24"/>
        </w:rPr>
      </w:pPr>
      <w:r w:rsidRPr="0078375A">
        <w:rPr>
          <w:rFonts w:ascii="Times New Roman" w:hAnsi="Times New Roman"/>
          <w:sz w:val="24"/>
          <w:szCs w:val="24"/>
        </w:rPr>
        <w:t xml:space="preserve">32324000-0 </w:t>
      </w:r>
      <w:r w:rsidRPr="0078375A">
        <w:rPr>
          <w:rFonts w:ascii="Times New Roman" w:hAnsi="Times New Roman"/>
          <w:sz w:val="24"/>
          <w:szCs w:val="24"/>
        </w:rPr>
        <w:t>–</w:t>
      </w:r>
      <w:r w:rsidRPr="0078375A">
        <w:rPr>
          <w:rFonts w:ascii="Times New Roman" w:hAnsi="Times New Roman"/>
          <w:sz w:val="24"/>
          <w:szCs w:val="24"/>
        </w:rPr>
        <w:t xml:space="preserve"> Televízory</w:t>
      </w:r>
    </w:p>
    <w:p w14:paraId="2154CED5" w14:textId="77777777" w:rsidR="0078375A" w:rsidRDefault="0078375A" w:rsidP="00715D53">
      <w:pPr>
        <w:ind w:left="426"/>
        <w:rPr>
          <w:rFonts w:ascii="Times New Roman" w:hAnsi="Times New Roman"/>
          <w:sz w:val="24"/>
          <w:szCs w:val="24"/>
        </w:rPr>
      </w:pPr>
    </w:p>
    <w:p w14:paraId="0264A696" w14:textId="2DF1EA38" w:rsidR="00715D53" w:rsidRPr="00000D07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00D07">
        <w:rPr>
          <w:rFonts w:ascii="Times New Roman" w:hAnsi="Times New Roman"/>
          <w:b/>
          <w:sz w:val="24"/>
          <w:szCs w:val="24"/>
        </w:rPr>
        <w:t>Dodatočný kód CPV:</w:t>
      </w:r>
    </w:p>
    <w:p w14:paraId="34B33120" w14:textId="7965BD8C" w:rsidR="006E3747" w:rsidRPr="00000D07" w:rsidRDefault="00377A00" w:rsidP="00377A00">
      <w:pPr>
        <w:ind w:left="426"/>
        <w:rPr>
          <w:rFonts w:ascii="Times New Roman" w:hAnsi="Times New Roman"/>
          <w:b/>
          <w:sz w:val="24"/>
          <w:szCs w:val="24"/>
        </w:rPr>
      </w:pPr>
      <w:r w:rsidRPr="00377A00">
        <w:rPr>
          <w:rFonts w:ascii="Times New Roman" w:hAnsi="Times New Roman"/>
          <w:sz w:val="24"/>
          <w:szCs w:val="24"/>
        </w:rPr>
        <w:t>32324100-1  Farebné televízory</w:t>
      </w:r>
      <w:r w:rsidRPr="00000D07">
        <w:rPr>
          <w:rFonts w:ascii="Times New Roman" w:hAnsi="Times New Roman"/>
          <w:sz w:val="24"/>
          <w:szCs w:val="24"/>
        </w:rPr>
        <w:t xml:space="preserve"> </w:t>
      </w:r>
    </w:p>
    <w:p w14:paraId="30A26C81" w14:textId="3DCB2F63" w:rsidR="00715D53" w:rsidRPr="00715D53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715D53">
        <w:rPr>
          <w:rFonts w:ascii="Times New Roman" w:hAnsi="Times New Roman"/>
          <w:sz w:val="24"/>
          <w:szCs w:val="24"/>
        </w:rPr>
        <w:t xml:space="preserve">60000000-8 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93EEE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5F7FC28C" w14:textId="1E36A730" w:rsidR="00276CED" w:rsidRPr="00276CED" w:rsidRDefault="00377A00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>TV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 xml:space="preserve"> technika v zmysle technickej špecifikácie, vrátane dopravy a</w:t>
      </w:r>
      <w:r w:rsidR="00C93A94">
        <w:rPr>
          <w:rFonts w:ascii="Times New Roman" w:hAnsi="Times New Roman"/>
          <w:bCs/>
          <w:sz w:val="24"/>
          <w:szCs w:val="24"/>
          <w:u w:color="000000"/>
        </w:rPr>
        <w:t> 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>vykládky</w:t>
      </w:r>
      <w:r w:rsidR="00C93A94">
        <w:rPr>
          <w:rFonts w:ascii="Times New Roman" w:hAnsi="Times New Roman"/>
          <w:bCs/>
          <w:sz w:val="24"/>
          <w:szCs w:val="24"/>
          <w:u w:color="000000"/>
        </w:rPr>
        <w:t xml:space="preserve"> na mieste určenia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>.</w:t>
      </w:r>
      <w:r w:rsidR="00C51395">
        <w:rPr>
          <w:rFonts w:ascii="Times New Roman" w:hAnsi="Times New Roman"/>
          <w:bCs/>
          <w:sz w:val="24"/>
          <w:szCs w:val="24"/>
          <w:u w:color="000000"/>
        </w:rPr>
        <w:t xml:space="preserve"> Komplikovanejšia vykládka je </w:t>
      </w:r>
      <w:r w:rsidR="00C93A94">
        <w:rPr>
          <w:rFonts w:ascii="Times New Roman" w:hAnsi="Times New Roman"/>
          <w:bCs/>
          <w:sz w:val="24"/>
          <w:szCs w:val="24"/>
          <w:u w:color="000000"/>
        </w:rPr>
        <w:t xml:space="preserve">iba </w:t>
      </w:r>
      <w:r w:rsidR="00C51395">
        <w:rPr>
          <w:rFonts w:ascii="Times New Roman" w:hAnsi="Times New Roman"/>
          <w:bCs/>
          <w:sz w:val="24"/>
          <w:szCs w:val="24"/>
          <w:u w:color="000000"/>
        </w:rPr>
        <w:t>pre prevádzku Riaditeľstvo na Šafárikovom námestí</w:t>
      </w:r>
      <w:r w:rsidR="00C93A94">
        <w:rPr>
          <w:rFonts w:ascii="Times New Roman" w:hAnsi="Times New Roman"/>
          <w:bCs/>
          <w:sz w:val="24"/>
          <w:szCs w:val="24"/>
          <w:u w:color="000000"/>
        </w:rPr>
        <w:t>- výťah dostupný až z prvého medziposchodia</w:t>
      </w:r>
      <w:r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6F8F0197" w14:textId="77777777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5C3D0241" w14:textId="77777777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Dodanie nového tovaru  v rozsahu podľa dokumentu Príloha č. 1 – Technická špecifikácia, v čiastkových dodávkach s dopravou  na miesto určenia podľa špecifikácie verejného obstarávateľa.</w:t>
      </w:r>
    </w:p>
    <w:p w14:paraId="6641317D" w14:textId="6137CD86" w:rsidR="005954E5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Z dôvodu potreby zabezpečenia kvality je každ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>ý výrobok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 xml:space="preserve"> opísan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 xml:space="preserve">ý konkrétnym odkazom a výrobným označením 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>výrobcu ( predajcu), uvedený opis definuje minimálne parametre výrobku. Obstarávateľ umožňuje aj ekvivalentné výrobky s presným odkazom na výrobcu a parametre ekvivalentného výrobku.</w:t>
      </w:r>
    </w:p>
    <w:p w14:paraId="2A5C2576" w14:textId="31B8B0CF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Konkrétny výrobok je u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>vedený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 xml:space="preserve"> ako štandard pre definovanie minimálnych parametrov prípadného ekvivalentného výrobku. Umožňuje sa predloženie ekvivalentného výrobku s minimálnymi parametrami uvedenými odkazom na konkrétny výrobok. Pri predložení ekvivalentného výrobku je potrebné doložiť odkaz na výrobcu (predajcu), odkaz na konkrétne parametre výrobku a predloženie certifikátu pre použitie výrobku v EU.</w:t>
      </w:r>
    </w:p>
    <w:p w14:paraId="0B2EDF24" w14:textId="081B5409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lastRenderedPageBreak/>
        <w:t xml:space="preserve">Technické špecifikácie  zistené z dostupných zdrojov predajcov - zdroj uvedený v odkaze v Prílohe č.1. Konkrétny výrobok podľa 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>označenia výrobcu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 xml:space="preserve"> ( odkazu) je určený ako štandard pre definovanie minimálnych parametrov prípadného ekvivalentného výrobku.</w:t>
      </w:r>
    </w:p>
    <w:p w14:paraId="325C76CB" w14:textId="5FCF00CE" w:rsidR="00E740E3" w:rsidRDefault="00E740E3" w:rsidP="00276CED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</w:rPr>
      </w:pPr>
    </w:p>
    <w:p w14:paraId="235EDB4B" w14:textId="441FCB3D" w:rsidR="00276CED" w:rsidRPr="00276CED" w:rsidRDefault="00276CED" w:rsidP="00276CED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Podrobne je predmet zákazky a jeho časti opísaný v </w:t>
      </w:r>
      <w:r w:rsidRPr="00276CED">
        <w:rPr>
          <w:rFonts w:ascii="Times New Roman" w:hAnsi="Times New Roman"/>
          <w:b/>
          <w:sz w:val="24"/>
          <w:szCs w:val="24"/>
        </w:rPr>
        <w:t>prílohe č. 1 Technická špecifikácia</w:t>
      </w: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7E5C21E7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Rozsah zákazky: </w:t>
      </w:r>
      <w:r w:rsidR="00C23248">
        <w:rPr>
          <w:rFonts w:ascii="Times New Roman" w:hAnsi="Times New Roman"/>
          <w:b/>
          <w:bCs/>
          <w:sz w:val="24"/>
          <w:szCs w:val="24"/>
        </w:rPr>
        <w:t>dodanie do 5 týždňov od vystavenia objednávky</w:t>
      </w:r>
      <w:r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527BFB55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C23248">
        <w:rPr>
          <w:rFonts w:ascii="Times New Roman" w:hAnsi="Times New Roman"/>
          <w:b/>
          <w:bCs/>
          <w:sz w:val="24"/>
          <w:szCs w:val="24"/>
        </w:rPr>
        <w:t>Objednávka</w:t>
      </w:r>
      <w:r w:rsidR="0052433B">
        <w:rPr>
          <w:rFonts w:ascii="Times New Roman" w:hAnsi="Times New Roman"/>
          <w:b/>
          <w:bCs/>
          <w:sz w:val="24"/>
          <w:szCs w:val="24"/>
        </w:rPr>
        <w:t>/ Objednávky</w:t>
      </w:r>
      <w:r w:rsidR="00C23248">
        <w:rPr>
          <w:rFonts w:ascii="Times New Roman" w:hAnsi="Times New Roman"/>
          <w:b/>
          <w:bCs/>
          <w:sz w:val="24"/>
          <w:szCs w:val="24"/>
        </w:rPr>
        <w:t xml:space="preserve"> s odkazom na VOP 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DFB05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46C2EABA" w:rsidR="00E740E3" w:rsidRPr="00276CED" w:rsidRDefault="004D0DF5" w:rsidP="00000D07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00D0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198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2CD88CF1" w:rsidR="00D67722" w:rsidRPr="001D6137" w:rsidRDefault="00C51395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8E2B4D">
        <w:rPr>
          <w:rFonts w:ascii="Times New Roman" w:hAnsi="Times New Roman"/>
          <w:bCs/>
          <w:sz w:val="24"/>
          <w:szCs w:val="24"/>
        </w:rPr>
        <w:t>Zákazk</w:t>
      </w:r>
      <w:r w:rsidR="00373029">
        <w:rPr>
          <w:rFonts w:ascii="Times New Roman" w:hAnsi="Times New Roman"/>
          <w:bCs/>
          <w:sz w:val="24"/>
          <w:szCs w:val="24"/>
        </w:rPr>
        <w:t>a nie</w:t>
      </w:r>
      <w:r w:rsidR="008E2B4D">
        <w:rPr>
          <w:rFonts w:ascii="Times New Roman" w:hAnsi="Times New Roman"/>
          <w:bCs/>
          <w:sz w:val="24"/>
          <w:szCs w:val="24"/>
        </w:rPr>
        <w:t xml:space="preserve">  je rozdelená na</w:t>
      </w:r>
      <w:r w:rsidR="00276CED">
        <w:rPr>
          <w:rFonts w:ascii="Times New Roman" w:hAnsi="Times New Roman"/>
          <w:bCs/>
          <w:sz w:val="24"/>
          <w:szCs w:val="24"/>
        </w:rPr>
        <w:t xml:space="preserve"> </w:t>
      </w:r>
      <w:r w:rsidR="008E2B4D">
        <w:rPr>
          <w:rFonts w:ascii="Times New Roman" w:hAnsi="Times New Roman"/>
          <w:bCs/>
          <w:sz w:val="24"/>
          <w:szCs w:val="24"/>
        </w:rPr>
        <w:t xml:space="preserve"> časti</w:t>
      </w:r>
      <w:r w:rsidR="00373029">
        <w:rPr>
          <w:rFonts w:ascii="Times New Roman" w:hAnsi="Times New Roman"/>
          <w:bCs/>
          <w:sz w:val="24"/>
          <w:szCs w:val="24"/>
        </w:rPr>
        <w:t xml:space="preserve">., predstavuje však </w:t>
      </w:r>
      <w:r w:rsidR="004D0DF5">
        <w:rPr>
          <w:rFonts w:ascii="Times New Roman" w:hAnsi="Times New Roman"/>
          <w:bCs/>
          <w:sz w:val="24"/>
          <w:szCs w:val="24"/>
        </w:rPr>
        <w:t xml:space="preserve"> jednu alebo viac</w:t>
      </w:r>
      <w:r w:rsidR="00373029">
        <w:rPr>
          <w:rFonts w:ascii="Times New Roman" w:hAnsi="Times New Roman"/>
          <w:bCs/>
          <w:sz w:val="24"/>
          <w:szCs w:val="24"/>
        </w:rPr>
        <w:t xml:space="preserve"> samostatných dodávok pre jednotlivé strediská na základe </w:t>
      </w:r>
      <w:r w:rsidR="004D0DF5">
        <w:rPr>
          <w:rFonts w:ascii="Times New Roman" w:hAnsi="Times New Roman"/>
          <w:bCs/>
          <w:sz w:val="24"/>
          <w:szCs w:val="24"/>
        </w:rPr>
        <w:t>objednávky/</w:t>
      </w:r>
      <w:r w:rsidR="00373029">
        <w:rPr>
          <w:rFonts w:ascii="Times New Roman" w:hAnsi="Times New Roman"/>
          <w:bCs/>
          <w:sz w:val="24"/>
          <w:szCs w:val="24"/>
        </w:rPr>
        <w:t xml:space="preserve"> objednávok.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4131602D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 xml:space="preserve">Prevádzky a strediská v </w:t>
      </w:r>
      <w:r w:rsidR="0043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16C2">
        <w:rPr>
          <w:rFonts w:ascii="Times New Roman" w:hAnsi="Times New Roman"/>
          <w:bCs/>
          <w:sz w:val="24"/>
          <w:szCs w:val="24"/>
        </w:rPr>
        <w:t xml:space="preserve"> 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210FF366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nie</w:t>
      </w:r>
      <w:r w:rsidR="00DF7B12" w:rsidRPr="001C4805">
        <w:rPr>
          <w:rFonts w:ascii="Times New Roman" w:hAnsi="Times New Roman"/>
          <w:sz w:val="24"/>
          <w:szCs w:val="24"/>
        </w:rPr>
        <w:t xml:space="preserve"> je</w:t>
      </w:r>
      <w:r w:rsidR="00437DEF">
        <w:rPr>
          <w:rFonts w:ascii="Times New Roman" w:hAnsi="Times New Roman"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nutná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6630FE90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D0DF5" w:rsidRPr="004D0DF5">
        <w:rPr>
          <w:rFonts w:ascii="Times New Roman" w:hAnsi="Times New Roman"/>
          <w:bCs/>
          <w:sz w:val="24"/>
          <w:szCs w:val="24"/>
        </w:rPr>
        <w:t>Objednávka/</w:t>
      </w:r>
      <w:r w:rsidR="004D0DF5">
        <w:rPr>
          <w:rFonts w:ascii="Times New Roman" w:hAnsi="Times New Roman"/>
          <w:b/>
          <w:sz w:val="24"/>
          <w:szCs w:val="24"/>
        </w:rPr>
        <w:t xml:space="preserve"> </w:t>
      </w:r>
      <w:r w:rsidR="00373029">
        <w:rPr>
          <w:rFonts w:ascii="Times New Roman" w:hAnsi="Times New Roman"/>
          <w:bCs/>
          <w:sz w:val="24"/>
          <w:szCs w:val="24"/>
        </w:rPr>
        <w:t xml:space="preserve">Objednávky </w:t>
      </w:r>
      <w:r w:rsidR="004D0DF5">
        <w:rPr>
          <w:rFonts w:ascii="Times New Roman" w:hAnsi="Times New Roman"/>
          <w:bCs/>
          <w:sz w:val="24"/>
          <w:szCs w:val="24"/>
        </w:rPr>
        <w:t>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3F364015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276CED"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</w:t>
      </w:r>
      <w:r w:rsidRPr="00A1726A">
        <w:rPr>
          <w:rFonts w:ascii="Times New Roman" w:hAnsi="Times New Roman"/>
          <w:sz w:val="24"/>
          <w:szCs w:val="24"/>
        </w:rPr>
        <w:lastRenderedPageBreak/>
        <w:t xml:space="preserve">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0610D8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0610D8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591A165D" w14:textId="2603DC6D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377A00">
        <w:rPr>
          <w:rFonts w:ascii="Times New Roman" w:hAnsi="Times New Roman"/>
          <w:bCs/>
          <w:sz w:val="24"/>
          <w:szCs w:val="24"/>
        </w:rPr>
        <w:t>30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C51395">
        <w:rPr>
          <w:rFonts w:ascii="Times New Roman" w:hAnsi="Times New Roman"/>
          <w:bCs/>
          <w:sz w:val="24"/>
          <w:szCs w:val="24"/>
        </w:rPr>
        <w:t>9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6E48EC12" w14:textId="3CCA285F" w:rsidR="00C51395" w:rsidRPr="004D0DF5" w:rsidRDefault="000610D8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D0DF5" w:rsidRPr="004D0DF5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https://josephine.proebiz.com/sk/tender/14624/summary</w:t>
        </w:r>
      </w:hyperlink>
    </w:p>
    <w:p w14:paraId="586BBFD1" w14:textId="77777777" w:rsidR="004D0DF5" w:rsidRPr="006A64AB" w:rsidRDefault="004D0DF5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5BCA26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253193F5" w14:textId="313312C3" w:rsidR="000F766D" w:rsidRPr="00377A00" w:rsidRDefault="00FB24D8" w:rsidP="007D4ED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77A00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5B3A6D" w:rsidRPr="00377A00">
        <w:rPr>
          <w:rFonts w:ascii="Times New Roman" w:hAnsi="Times New Roman"/>
          <w:sz w:val="24"/>
          <w:szCs w:val="24"/>
        </w:rPr>
        <w:t>1</w:t>
      </w:r>
      <w:r w:rsidRPr="00377A00">
        <w:rPr>
          <w:rFonts w:ascii="Times New Roman" w:hAnsi="Times New Roman"/>
          <w:sz w:val="24"/>
          <w:szCs w:val="24"/>
        </w:rPr>
        <w:t>, vrátane čestného prehlásenia</w:t>
      </w:r>
      <w:r w:rsidR="0083183C" w:rsidRPr="00377A00">
        <w:rPr>
          <w:rFonts w:ascii="Times New Roman" w:hAnsi="Times New Roman"/>
          <w:sz w:val="24"/>
          <w:szCs w:val="24"/>
        </w:rPr>
        <w:t xml:space="preserve"> </w:t>
      </w:r>
    </w:p>
    <w:p w14:paraId="0F639DE2" w14:textId="1894E6B3" w:rsidR="00377A00" w:rsidRPr="00377A00" w:rsidRDefault="00377A00" w:rsidP="007D4ED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Technická špecifikácia ekvivalentného výrobku</w:t>
      </w:r>
      <w:r w:rsidR="00B124DA">
        <w:rPr>
          <w:rFonts w:ascii="Times New Roman" w:hAnsi="Times New Roman"/>
          <w:sz w:val="24"/>
          <w:szCs w:val="24"/>
        </w:rPr>
        <w:t>/ ekvivalentných výrobkov</w:t>
      </w:r>
      <w:r w:rsidR="009676E0">
        <w:rPr>
          <w:rFonts w:ascii="Times New Roman" w:hAnsi="Times New Roman"/>
          <w:sz w:val="24"/>
          <w:szCs w:val="24"/>
        </w:rPr>
        <w:t xml:space="preserve"> </w:t>
      </w:r>
      <w:r w:rsidR="00B124DA">
        <w:rPr>
          <w:rFonts w:ascii="Times New Roman" w:hAnsi="Times New Roman"/>
          <w:sz w:val="24"/>
          <w:szCs w:val="24"/>
        </w:rPr>
        <w:t xml:space="preserve">(upresnený </w:t>
      </w:r>
      <w:r w:rsidR="00B124DA">
        <w:rPr>
          <w:rFonts w:ascii="Times New Roman" w:hAnsi="Times New Roman"/>
          <w:sz w:val="24"/>
          <w:szCs w:val="24"/>
        </w:rPr>
        <w:lastRenderedPageBreak/>
        <w:t>elektronický odkaz na ponúkaný výrobok, vrátane úplnej technickej špecifikácie)</w:t>
      </w:r>
    </w:p>
    <w:p w14:paraId="5EFABC6D" w14:textId="77777777" w:rsidR="00377A00" w:rsidRPr="00377A00" w:rsidRDefault="00377A00" w:rsidP="00377A00">
      <w:pPr>
        <w:spacing w:line="276" w:lineRule="auto"/>
        <w:ind w:left="623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7650F8A0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</w:t>
      </w:r>
      <w:r w:rsidR="00F36C14">
        <w:rPr>
          <w:rFonts w:ascii="Times New Roman" w:hAnsi="Times New Roman"/>
          <w:bCs/>
          <w:sz w:val="24"/>
          <w:szCs w:val="24"/>
        </w:rPr>
        <w:t xml:space="preserve"> za časť predmetu zákazky</w:t>
      </w:r>
      <w:r w:rsidR="00064A97" w:rsidRPr="00404044">
        <w:rPr>
          <w:rFonts w:ascii="Times New Roman" w:hAnsi="Times New Roman"/>
          <w:bCs/>
          <w:sz w:val="24"/>
          <w:szCs w:val="24"/>
        </w:rPr>
        <w:t>.</w:t>
      </w:r>
    </w:p>
    <w:p w14:paraId="62491279" w14:textId="115550D1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</w:t>
      </w:r>
      <w:r w:rsidR="00F36C14">
        <w:rPr>
          <w:rFonts w:ascii="Times New Roman" w:hAnsi="Times New Roman"/>
          <w:sz w:val="24"/>
          <w:szCs w:val="24"/>
        </w:rPr>
        <w:t xml:space="preserve">časť </w:t>
      </w:r>
      <w:r w:rsidR="54276984" w:rsidRPr="6F4D0148">
        <w:rPr>
          <w:rFonts w:ascii="Times New Roman" w:hAnsi="Times New Roman"/>
          <w:sz w:val="24"/>
          <w:szCs w:val="24"/>
        </w:rPr>
        <w:t>predmet</w:t>
      </w:r>
      <w:r w:rsidR="00F36C14">
        <w:rPr>
          <w:rFonts w:ascii="Times New Roman" w:hAnsi="Times New Roman"/>
          <w:sz w:val="24"/>
          <w:szCs w:val="24"/>
        </w:rPr>
        <w:t>u</w:t>
      </w:r>
      <w:r w:rsidR="54276984" w:rsidRPr="6F4D0148">
        <w:rPr>
          <w:rFonts w:ascii="Times New Roman" w:hAnsi="Times New Roman"/>
          <w:sz w:val="24"/>
          <w:szCs w:val="24"/>
        </w:rPr>
        <w:t xml:space="preserve">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</w:t>
      </w:r>
      <w:r w:rsidR="00F36C14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69342AA8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 xml:space="preserve">V prípade rovnosti ponukových cien viacerých ponúk umiestnených na prvom mieste </w:t>
      </w:r>
      <w:r w:rsidR="00F36C14">
        <w:rPr>
          <w:rFonts w:ascii="Times New Roman" w:hAnsi="Times New Roman"/>
          <w:bCs/>
          <w:sz w:val="24"/>
          <w:szCs w:val="24"/>
        </w:rPr>
        <w:t xml:space="preserve">pre samostatnú časť </w:t>
      </w:r>
      <w:r w:rsidRPr="00F949B7">
        <w:rPr>
          <w:rFonts w:ascii="Times New Roman" w:hAnsi="Times New Roman"/>
          <w:bCs/>
          <w:sz w:val="24"/>
          <w:szCs w:val="24"/>
        </w:rPr>
        <w:t>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20A5AB17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</w:t>
      </w:r>
      <w:r w:rsidR="00F36C14">
        <w:rPr>
          <w:rFonts w:ascii="Times New Roman" w:hAnsi="Times New Roman"/>
          <w:sz w:val="24"/>
          <w:szCs w:val="24"/>
        </w:rPr>
        <w:t xml:space="preserve">pre samostatnú časť zákazky </w:t>
      </w:r>
      <w:r w:rsidRPr="003864FB">
        <w:rPr>
          <w:rFonts w:ascii="Times New Roman" w:hAnsi="Times New Roman"/>
          <w:sz w:val="24"/>
          <w:szCs w:val="24"/>
        </w:rPr>
        <w:t>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2D042671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="00F36C14">
        <w:rPr>
          <w:rFonts w:ascii="Times New Roman" w:hAnsi="Times New Roman"/>
          <w:sz w:val="24"/>
          <w:szCs w:val="24"/>
        </w:rPr>
        <w:t xml:space="preserve"> pre samostatnú časť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3CA8656D" w14:textId="77777777" w:rsidR="00C23248" w:rsidRDefault="00C23248" w:rsidP="00C23248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049ED933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1    -   Technická špecifikácia</w:t>
      </w:r>
    </w:p>
    <w:p w14:paraId="78803179" w14:textId="44882FDF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 w:rsidR="00D819A4">
        <w:rPr>
          <w:rFonts w:ascii="Times New Roman" w:hAnsi="Times New Roman"/>
          <w:bCs/>
          <w:sz w:val="24"/>
          <w:szCs w:val="24"/>
        </w:rPr>
        <w:t xml:space="preserve">, vrátane </w:t>
      </w:r>
      <w:r w:rsidR="00F616C2">
        <w:rPr>
          <w:rFonts w:ascii="Times New Roman" w:hAnsi="Times New Roman"/>
          <w:bCs/>
          <w:sz w:val="24"/>
          <w:szCs w:val="24"/>
        </w:rPr>
        <w:t xml:space="preserve"> čestného prehlásenia</w:t>
      </w:r>
    </w:p>
    <w:p w14:paraId="501F413F" w14:textId="7AC9180C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č.2.1. –  k Cenovej ponuke – Jednotkové ceny</w:t>
      </w:r>
    </w:p>
    <w:p w14:paraId="369419D0" w14:textId="33154EDF" w:rsidR="00D337FE" w:rsidRPr="00404044" w:rsidRDefault="00CA1B8E" w:rsidP="004926B8">
      <w:pPr>
        <w:tabs>
          <w:tab w:val="left" w:pos="1102"/>
        </w:tabs>
        <w:ind w:firstLine="426"/>
        <w:rPr>
          <w:rFonts w:ascii="Times New Roman" w:hAnsi="Times New Roman"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90265F">
        <w:rPr>
          <w:rFonts w:ascii="Times New Roman" w:hAnsi="Times New Roman"/>
          <w:bCs/>
          <w:sz w:val="24"/>
          <w:szCs w:val="24"/>
        </w:rPr>
        <w:t>Vzor Objednávky</w:t>
      </w:r>
    </w:p>
    <w:sectPr w:rsidR="00D337FE" w:rsidRPr="00404044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84D3" w14:textId="77777777" w:rsidR="000610D8" w:rsidRDefault="000610D8" w:rsidP="003C1ABA">
      <w:r>
        <w:separator/>
      </w:r>
    </w:p>
  </w:endnote>
  <w:endnote w:type="continuationSeparator" w:id="0">
    <w:p w14:paraId="7A94CF50" w14:textId="77777777" w:rsidR="000610D8" w:rsidRDefault="000610D8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CEC0" w14:textId="77777777" w:rsidR="000610D8" w:rsidRDefault="000610D8" w:rsidP="003C1ABA">
      <w:r>
        <w:separator/>
      </w:r>
    </w:p>
  </w:footnote>
  <w:footnote w:type="continuationSeparator" w:id="0">
    <w:p w14:paraId="5D2369E7" w14:textId="77777777" w:rsidR="000610D8" w:rsidRDefault="000610D8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0D07"/>
    <w:rsid w:val="00001CF6"/>
    <w:rsid w:val="000059FF"/>
    <w:rsid w:val="00010DF4"/>
    <w:rsid w:val="0001171B"/>
    <w:rsid w:val="00020739"/>
    <w:rsid w:val="000245E3"/>
    <w:rsid w:val="0003495E"/>
    <w:rsid w:val="00040FB8"/>
    <w:rsid w:val="00041909"/>
    <w:rsid w:val="00046325"/>
    <w:rsid w:val="00046F12"/>
    <w:rsid w:val="000532AC"/>
    <w:rsid w:val="000548D0"/>
    <w:rsid w:val="00056967"/>
    <w:rsid w:val="000610D8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0B77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83D01"/>
    <w:rsid w:val="0019190E"/>
    <w:rsid w:val="00193F80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357B3"/>
    <w:rsid w:val="0034767C"/>
    <w:rsid w:val="0035573F"/>
    <w:rsid w:val="00356786"/>
    <w:rsid w:val="003624BB"/>
    <w:rsid w:val="00365BB9"/>
    <w:rsid w:val="00373029"/>
    <w:rsid w:val="00373089"/>
    <w:rsid w:val="00377A00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11689"/>
    <w:rsid w:val="004120E4"/>
    <w:rsid w:val="0041437B"/>
    <w:rsid w:val="00420135"/>
    <w:rsid w:val="004217FE"/>
    <w:rsid w:val="004219C7"/>
    <w:rsid w:val="0042557A"/>
    <w:rsid w:val="004329BC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926B8"/>
    <w:rsid w:val="004D0DF5"/>
    <w:rsid w:val="004D3153"/>
    <w:rsid w:val="004E4487"/>
    <w:rsid w:val="004E6F8B"/>
    <w:rsid w:val="004F2222"/>
    <w:rsid w:val="004F56F2"/>
    <w:rsid w:val="0052093E"/>
    <w:rsid w:val="0052433B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C5B44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C22E1"/>
    <w:rsid w:val="006D25E5"/>
    <w:rsid w:val="006D767D"/>
    <w:rsid w:val="006E09EB"/>
    <w:rsid w:val="006E3747"/>
    <w:rsid w:val="006E389B"/>
    <w:rsid w:val="006E7790"/>
    <w:rsid w:val="006F5631"/>
    <w:rsid w:val="006F6A31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8375A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37FF"/>
    <w:rsid w:val="00845789"/>
    <w:rsid w:val="008806BC"/>
    <w:rsid w:val="008908E7"/>
    <w:rsid w:val="008925FC"/>
    <w:rsid w:val="0089356F"/>
    <w:rsid w:val="008A0827"/>
    <w:rsid w:val="008A3325"/>
    <w:rsid w:val="008B06A3"/>
    <w:rsid w:val="008C0DFA"/>
    <w:rsid w:val="008C5F21"/>
    <w:rsid w:val="008D2554"/>
    <w:rsid w:val="008E2B4D"/>
    <w:rsid w:val="008E365E"/>
    <w:rsid w:val="008E7143"/>
    <w:rsid w:val="008F604D"/>
    <w:rsid w:val="0090265F"/>
    <w:rsid w:val="00913A5C"/>
    <w:rsid w:val="0091415F"/>
    <w:rsid w:val="00915720"/>
    <w:rsid w:val="00916F13"/>
    <w:rsid w:val="00920F13"/>
    <w:rsid w:val="00944104"/>
    <w:rsid w:val="00946CCE"/>
    <w:rsid w:val="0095406B"/>
    <w:rsid w:val="009676E0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24DA"/>
    <w:rsid w:val="00B142D0"/>
    <w:rsid w:val="00B26386"/>
    <w:rsid w:val="00B3098A"/>
    <w:rsid w:val="00B3351D"/>
    <w:rsid w:val="00B41952"/>
    <w:rsid w:val="00B56513"/>
    <w:rsid w:val="00B621EA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3F78"/>
    <w:rsid w:val="00BB6C5F"/>
    <w:rsid w:val="00BF17B6"/>
    <w:rsid w:val="00BF7541"/>
    <w:rsid w:val="00C0012F"/>
    <w:rsid w:val="00C23248"/>
    <w:rsid w:val="00C23FB6"/>
    <w:rsid w:val="00C37102"/>
    <w:rsid w:val="00C51395"/>
    <w:rsid w:val="00C6695C"/>
    <w:rsid w:val="00C814E1"/>
    <w:rsid w:val="00C84C19"/>
    <w:rsid w:val="00C93A94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090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47F0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3B08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18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4624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13</cp:revision>
  <cp:lastPrinted>2021-09-21T12:56:00Z</cp:lastPrinted>
  <dcterms:created xsi:type="dcterms:W3CDTF">2021-09-21T12:23:00Z</dcterms:created>
  <dcterms:modified xsi:type="dcterms:W3CDTF">2021-09-21T12:57:00Z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