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75523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  <w:r w:rsidRPr="00702724">
        <w:rPr>
          <w:rFonts w:asciiTheme="minorHAnsi" w:hAnsiTheme="minorHAnsi" w:cstheme="minorHAnsi"/>
          <w:b/>
        </w:rPr>
        <w:t xml:space="preserve">Příloha č. </w:t>
      </w:r>
      <w:r w:rsidR="00BC00A4" w:rsidRPr="00702724">
        <w:rPr>
          <w:rFonts w:asciiTheme="minorHAnsi" w:hAnsiTheme="minorHAnsi" w:cstheme="minorHAnsi"/>
          <w:b/>
        </w:rPr>
        <w:t>3</w:t>
      </w:r>
      <w:r w:rsidRPr="00702724">
        <w:rPr>
          <w:rFonts w:asciiTheme="minorHAnsi" w:hAnsiTheme="minorHAnsi" w:cstheme="minorHAnsi"/>
          <w:b/>
        </w:rPr>
        <w:t>:</w:t>
      </w:r>
      <w:r w:rsidRPr="00702724">
        <w:rPr>
          <w:rFonts w:asciiTheme="minorHAnsi" w:hAnsiTheme="minorHAnsi" w:cstheme="minorHAnsi"/>
          <w:b/>
        </w:rPr>
        <w:tab/>
      </w:r>
      <w:r w:rsidRPr="00702724">
        <w:rPr>
          <w:rFonts w:asciiTheme="minorHAnsi" w:hAnsiTheme="minorHAnsi" w:cstheme="minorHAnsi"/>
          <w:i/>
        </w:rPr>
        <w:t>Specifikace předmětu VZ</w:t>
      </w:r>
    </w:p>
    <w:p w14:paraId="337A0671" w14:textId="77777777" w:rsidR="00EC2645" w:rsidRPr="00702724" w:rsidRDefault="00EC2645" w:rsidP="00EC2645">
      <w:pPr>
        <w:spacing w:after="0"/>
        <w:rPr>
          <w:rFonts w:asciiTheme="minorHAnsi" w:hAnsiTheme="minorHAnsi" w:cstheme="minorHAnsi"/>
          <w:i/>
        </w:rPr>
      </w:pPr>
    </w:p>
    <w:p w14:paraId="6B55F803" w14:textId="3DDB295C" w:rsidR="00AD5BD8" w:rsidRDefault="00EC2645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  <w:r w:rsidRPr="00702724">
        <w:rPr>
          <w:rFonts w:asciiTheme="minorHAnsi" w:hAnsiTheme="minorHAnsi" w:cstheme="minorHAnsi"/>
          <w:b/>
        </w:rPr>
        <w:t>Specifikace předmětu veřejné zakázky</w:t>
      </w:r>
      <w:r w:rsidRPr="00702724">
        <w:rPr>
          <w:rFonts w:asciiTheme="minorHAnsi" w:hAnsiTheme="minorHAnsi" w:cstheme="minorHAnsi"/>
          <w:noProof/>
          <w:lang w:eastAsia="cs-CZ"/>
        </w:rPr>
        <w:t xml:space="preserve"> 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„</w:t>
      </w:r>
      <w:r w:rsidR="00510C8D">
        <w:rPr>
          <w:rFonts w:asciiTheme="minorHAnsi" w:hAnsiTheme="minorHAnsi" w:cstheme="minorHAnsi"/>
          <w:b/>
          <w:bCs/>
        </w:rPr>
        <w:t>Digitální úřední deska pro město Znojmo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“</w:t>
      </w:r>
      <w:r w:rsidR="00661434">
        <w:rPr>
          <w:rFonts w:asciiTheme="minorHAnsi" w:hAnsiTheme="minorHAnsi" w:cstheme="minorHAnsi"/>
          <w:b/>
          <w:bCs/>
          <w:noProof/>
          <w:lang w:eastAsia="cs-CZ"/>
        </w:rPr>
        <w:t>,</w:t>
      </w:r>
      <w:r w:rsidR="00E346A3" w:rsidRPr="00702724">
        <w:rPr>
          <w:rFonts w:asciiTheme="minorHAnsi" w:hAnsiTheme="minorHAnsi" w:cstheme="minorHAnsi"/>
          <w:b/>
          <w:bCs/>
          <w:noProof/>
          <w:lang w:eastAsia="cs-CZ"/>
        </w:rPr>
        <w:t xml:space="preserve"> vedené pod označením zakázky 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VZ2021-0</w:t>
      </w:r>
      <w:r w:rsidR="00510C8D">
        <w:rPr>
          <w:rFonts w:asciiTheme="minorHAnsi" w:hAnsiTheme="minorHAnsi" w:cstheme="minorHAnsi"/>
          <w:b/>
          <w:bCs/>
          <w:noProof/>
          <w:lang w:eastAsia="cs-CZ"/>
        </w:rPr>
        <w:t>6</w:t>
      </w:r>
      <w:r w:rsidR="00796177">
        <w:rPr>
          <w:rFonts w:asciiTheme="minorHAnsi" w:hAnsiTheme="minorHAnsi" w:cstheme="minorHAnsi"/>
          <w:b/>
          <w:bCs/>
          <w:noProof/>
          <w:lang w:eastAsia="cs-CZ"/>
        </w:rPr>
        <w:t>2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-O</w:t>
      </w:r>
      <w:r w:rsidR="00510C8D">
        <w:rPr>
          <w:rFonts w:asciiTheme="minorHAnsi" w:hAnsiTheme="minorHAnsi" w:cstheme="minorHAnsi"/>
          <w:b/>
          <w:bCs/>
          <w:noProof/>
          <w:lang w:eastAsia="cs-CZ"/>
        </w:rPr>
        <w:t>TE</w:t>
      </w:r>
      <w:r w:rsidR="00554298" w:rsidRPr="00554298">
        <w:rPr>
          <w:rFonts w:asciiTheme="minorHAnsi" w:hAnsiTheme="minorHAnsi" w:cstheme="minorHAnsi"/>
          <w:b/>
          <w:bCs/>
          <w:noProof/>
          <w:lang w:eastAsia="cs-CZ"/>
        </w:rPr>
        <w:t>-I</w:t>
      </w:r>
      <w:r w:rsidR="00510C8D">
        <w:rPr>
          <w:rFonts w:asciiTheme="minorHAnsi" w:hAnsiTheme="minorHAnsi" w:cstheme="minorHAnsi"/>
          <w:b/>
          <w:bCs/>
          <w:noProof/>
          <w:lang w:eastAsia="cs-CZ"/>
        </w:rPr>
        <w:t>T</w:t>
      </w:r>
      <w:r w:rsidR="00AD5BD8" w:rsidRPr="00702724">
        <w:rPr>
          <w:rFonts w:asciiTheme="minorHAnsi" w:hAnsiTheme="minorHAnsi" w:cstheme="minorHAnsi"/>
          <w:b/>
          <w:bCs/>
          <w:noProof/>
          <w:lang w:eastAsia="cs-CZ"/>
        </w:rPr>
        <w:t>:</w:t>
      </w:r>
    </w:p>
    <w:p w14:paraId="0E5CC830" w14:textId="77777777" w:rsidR="005C03D7" w:rsidRDefault="005C03D7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p w14:paraId="16C5ABCA" w14:textId="77777777" w:rsidR="005E20B0" w:rsidRPr="005E20B0" w:rsidRDefault="005E20B0" w:rsidP="005E20B0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E20B0">
        <w:rPr>
          <w:rFonts w:asciiTheme="minorHAnsi" w:hAnsiTheme="minorHAnsi" w:cstheme="minorHAnsi"/>
          <w:bCs/>
          <w:noProof/>
          <w:lang w:eastAsia="cs-CZ"/>
        </w:rPr>
        <w:t>Níže jsou vymezeny závazné požadavky technických specifikací zadavatele na plnění veřejné zakázky. Tyto požadavky je uchazeč povinen respektovat v plném rozsahu při zpracování své nabídky.</w:t>
      </w:r>
    </w:p>
    <w:p w14:paraId="385C2C51" w14:textId="77777777" w:rsidR="005E20B0" w:rsidRPr="005E20B0" w:rsidRDefault="005E20B0" w:rsidP="005E20B0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E20B0">
        <w:rPr>
          <w:rFonts w:asciiTheme="minorHAnsi" w:hAnsiTheme="minorHAnsi" w:cstheme="minorHAnsi"/>
          <w:bCs/>
          <w:noProof/>
          <w:lang w:eastAsia="cs-CZ"/>
        </w:rPr>
        <w:t>Zadavatelem vymezené kapacitní, kvalitativní a technické parametry a požadavky na předmět zakázky stejně jako hodnoty uvedené u těchto parametrů jsou stanoveny jako minimální přípustné. Uchazeči proto mohou nabídnout předmět zakázky, který bude disponovat lepšími parametry a vlastnostmi u funkcionalit zadavatelem požadovaných.</w:t>
      </w:r>
    </w:p>
    <w:p w14:paraId="431CE14A" w14:textId="77777777" w:rsidR="005E20B0" w:rsidRPr="005E20B0" w:rsidRDefault="005E20B0" w:rsidP="005E20B0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E20B0">
        <w:rPr>
          <w:rFonts w:asciiTheme="minorHAnsi" w:hAnsiTheme="minorHAnsi" w:cstheme="minorHAnsi"/>
          <w:bCs/>
          <w:noProof/>
          <w:lang w:eastAsia="cs-CZ"/>
        </w:rPr>
        <w:t>Zadavatel požaduje I. jakost dodaného zboží (zboží musí být nové).</w:t>
      </w:r>
    </w:p>
    <w:p w14:paraId="61531A40" w14:textId="77777777" w:rsidR="005E20B0" w:rsidRDefault="005E20B0" w:rsidP="005E20B0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</w:p>
    <w:p w14:paraId="6B6CE17D" w14:textId="1D6B488B" w:rsidR="005E20B0" w:rsidRDefault="005E20B0" w:rsidP="005E20B0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E20B0">
        <w:rPr>
          <w:rFonts w:asciiTheme="minorHAnsi" w:hAnsiTheme="minorHAnsi" w:cstheme="minorHAnsi"/>
          <w:bCs/>
          <w:noProof/>
          <w:lang w:eastAsia="cs-CZ"/>
        </w:rPr>
        <w:t>Úřední deska musí splňovat všechny zákonné požadavky</w:t>
      </w:r>
      <w:r w:rsidR="00113C1E">
        <w:rPr>
          <w:rFonts w:asciiTheme="minorHAnsi" w:hAnsiTheme="minorHAnsi" w:cstheme="minorHAnsi"/>
          <w:bCs/>
          <w:noProof/>
          <w:lang w:eastAsia="cs-CZ"/>
        </w:rPr>
        <w:t>,</w:t>
      </w:r>
      <w:r w:rsidRPr="005E20B0">
        <w:rPr>
          <w:rFonts w:asciiTheme="minorHAnsi" w:hAnsiTheme="minorHAnsi" w:cstheme="minorHAnsi"/>
          <w:bCs/>
          <w:noProof/>
          <w:lang w:eastAsia="cs-CZ"/>
        </w:rPr>
        <w:t xml:space="preserve"> jmenovitě pak </w:t>
      </w:r>
      <w:r w:rsidR="00113C1E">
        <w:rPr>
          <w:rFonts w:asciiTheme="minorHAnsi" w:hAnsiTheme="minorHAnsi" w:cstheme="minorHAnsi"/>
          <w:bCs/>
          <w:noProof/>
          <w:lang w:eastAsia="cs-CZ"/>
        </w:rPr>
        <w:t>zákon č</w:t>
      </w:r>
      <w:bookmarkStart w:id="0" w:name="_GoBack"/>
      <w:r w:rsidR="00113C1E" w:rsidRPr="00334C90">
        <w:rPr>
          <w:rFonts w:asciiTheme="minorHAnsi" w:hAnsiTheme="minorHAnsi" w:cstheme="minorHAnsi"/>
          <w:bCs/>
          <w:noProof/>
          <w:lang w:eastAsia="cs-CZ"/>
        </w:rPr>
        <w:t>.</w:t>
      </w:r>
      <w:r w:rsidR="00334C90" w:rsidRPr="00334C90">
        <w:rPr>
          <w:rFonts w:asciiTheme="minorHAnsi" w:hAnsiTheme="minorHAnsi" w:cstheme="minorHAnsi"/>
          <w:bCs/>
          <w:noProof/>
          <w:lang w:eastAsia="cs-CZ"/>
        </w:rPr>
        <w:t xml:space="preserve"> </w:t>
      </w:r>
      <w:r w:rsidRPr="00334C90">
        <w:rPr>
          <w:rFonts w:asciiTheme="minorHAnsi" w:hAnsiTheme="minorHAnsi" w:cstheme="minorHAnsi"/>
          <w:bCs/>
          <w:noProof/>
          <w:lang w:eastAsia="cs-CZ"/>
        </w:rPr>
        <w:t xml:space="preserve">500/2004 Sb., </w:t>
      </w:r>
      <w:bookmarkEnd w:id="0"/>
      <w:r w:rsidRPr="005E20B0">
        <w:rPr>
          <w:rFonts w:asciiTheme="minorHAnsi" w:hAnsiTheme="minorHAnsi" w:cstheme="minorHAnsi"/>
          <w:bCs/>
          <w:noProof/>
          <w:lang w:eastAsia="cs-CZ"/>
        </w:rPr>
        <w:t>správní řád</w:t>
      </w:r>
      <w:r w:rsidR="00334C90">
        <w:rPr>
          <w:rFonts w:asciiTheme="minorHAnsi" w:hAnsiTheme="minorHAnsi" w:cstheme="minorHAnsi"/>
          <w:bCs/>
          <w:noProof/>
          <w:lang w:eastAsia="cs-CZ"/>
        </w:rPr>
        <w:t>, ve znění pozdějších předpisů</w:t>
      </w:r>
      <w:r w:rsidRPr="005E20B0">
        <w:rPr>
          <w:rFonts w:asciiTheme="minorHAnsi" w:hAnsiTheme="minorHAnsi" w:cstheme="minorHAnsi"/>
          <w:bCs/>
          <w:noProof/>
          <w:lang w:eastAsia="cs-CZ"/>
        </w:rPr>
        <w:t xml:space="preserve"> a požadavky specifikované Zadavatelem.</w:t>
      </w:r>
    </w:p>
    <w:p w14:paraId="4B135C84" w14:textId="77777777" w:rsidR="005E20B0" w:rsidRDefault="005E20B0" w:rsidP="00EC2645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</w:p>
    <w:p w14:paraId="3618A316" w14:textId="114FEE9F" w:rsidR="005B6FE7" w:rsidRPr="005B6FE7" w:rsidRDefault="005B6FE7" w:rsidP="00EC2645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B6FE7">
        <w:rPr>
          <w:rFonts w:asciiTheme="minorHAnsi" w:hAnsiTheme="minorHAnsi" w:cstheme="minorHAnsi"/>
          <w:bCs/>
          <w:noProof/>
          <w:lang w:eastAsia="cs-CZ"/>
        </w:rPr>
        <w:t xml:space="preserve">Předmětem </w:t>
      </w:r>
      <w:r w:rsidR="005E20B0">
        <w:rPr>
          <w:rFonts w:asciiTheme="minorHAnsi" w:hAnsiTheme="minorHAnsi" w:cstheme="minorHAnsi"/>
          <w:bCs/>
          <w:noProof/>
          <w:lang w:eastAsia="cs-CZ"/>
        </w:rPr>
        <w:t>veřejné zakázky</w:t>
      </w:r>
      <w:r w:rsidRPr="005B6FE7">
        <w:rPr>
          <w:rFonts w:asciiTheme="minorHAnsi" w:hAnsiTheme="minorHAnsi" w:cstheme="minorHAnsi"/>
          <w:bCs/>
          <w:noProof/>
          <w:lang w:eastAsia="cs-CZ"/>
        </w:rPr>
        <w:t xml:space="preserve"> je uzavření smlouvy na dodávku, instalaci, zprovoznění </w:t>
      </w:r>
      <w:r>
        <w:rPr>
          <w:rFonts w:asciiTheme="minorHAnsi" w:hAnsiTheme="minorHAnsi" w:cstheme="minorHAnsi"/>
          <w:bCs/>
          <w:noProof/>
          <w:lang w:eastAsia="cs-CZ"/>
        </w:rPr>
        <w:t>vč.</w:t>
      </w:r>
      <w:r w:rsidRPr="005B6FE7">
        <w:rPr>
          <w:rFonts w:asciiTheme="minorHAnsi" w:hAnsiTheme="minorHAnsi" w:cstheme="minorHAnsi"/>
          <w:bCs/>
          <w:noProof/>
          <w:lang w:eastAsia="cs-CZ"/>
        </w:rPr>
        <w:t xml:space="preserve"> </w:t>
      </w:r>
      <w:r w:rsidRPr="00951CAD">
        <w:rPr>
          <w:rFonts w:asciiTheme="minorHAnsi" w:hAnsiTheme="minorHAnsi" w:cstheme="minorHAnsi"/>
          <w:bCs/>
          <w:noProof/>
          <w:lang w:eastAsia="cs-CZ"/>
        </w:rPr>
        <w:t>servis</w:t>
      </w:r>
      <w:r w:rsidR="00951CAD" w:rsidRPr="00951CAD">
        <w:rPr>
          <w:rFonts w:asciiTheme="minorHAnsi" w:hAnsiTheme="minorHAnsi" w:cstheme="minorHAnsi"/>
          <w:bCs/>
          <w:noProof/>
          <w:lang w:eastAsia="cs-CZ"/>
        </w:rPr>
        <w:t>u</w:t>
      </w:r>
      <w:r>
        <w:rPr>
          <w:rFonts w:asciiTheme="minorHAnsi" w:hAnsiTheme="minorHAnsi" w:cstheme="minorHAnsi"/>
          <w:bCs/>
          <w:noProof/>
          <w:lang w:eastAsia="cs-CZ"/>
        </w:rPr>
        <w:t xml:space="preserve"> na </w:t>
      </w:r>
      <w:r w:rsidR="005E20B0">
        <w:rPr>
          <w:rFonts w:asciiTheme="minorHAnsi" w:hAnsiTheme="minorHAnsi" w:cstheme="minorHAnsi"/>
          <w:bCs/>
          <w:noProof/>
          <w:lang w:eastAsia="cs-CZ"/>
        </w:rPr>
        <w:t>dobu 5 let</w:t>
      </w:r>
      <w:r>
        <w:rPr>
          <w:rFonts w:asciiTheme="minorHAnsi" w:hAnsiTheme="minorHAnsi" w:cstheme="minorHAnsi"/>
          <w:bCs/>
          <w:noProof/>
          <w:lang w:eastAsia="cs-CZ"/>
        </w:rPr>
        <w:t>.</w:t>
      </w:r>
    </w:p>
    <w:p w14:paraId="6A356153" w14:textId="77777777" w:rsidR="005B6FE7" w:rsidRDefault="005B6FE7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p w14:paraId="18789D1A" w14:textId="662FA2BE" w:rsidR="005C03D7" w:rsidRPr="005C03D7" w:rsidRDefault="005C03D7" w:rsidP="00EC2645">
      <w:pPr>
        <w:spacing w:after="0"/>
        <w:rPr>
          <w:rFonts w:asciiTheme="minorHAnsi" w:hAnsiTheme="minorHAnsi" w:cstheme="minorHAnsi"/>
          <w:bCs/>
          <w:noProof/>
          <w:lang w:eastAsia="cs-CZ"/>
        </w:rPr>
      </w:pPr>
      <w:r w:rsidRPr="005C03D7">
        <w:rPr>
          <w:rFonts w:asciiTheme="minorHAnsi" w:hAnsiTheme="minorHAnsi" w:cstheme="minorHAnsi"/>
          <w:bCs/>
          <w:noProof/>
          <w:lang w:eastAsia="cs-CZ"/>
        </w:rPr>
        <w:t>Požadované technické parametry:</w:t>
      </w:r>
    </w:p>
    <w:p w14:paraId="66136D63" w14:textId="77777777" w:rsidR="00510C8D" w:rsidRDefault="00510C8D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2835"/>
        <w:gridCol w:w="1984"/>
        <w:gridCol w:w="1418"/>
      </w:tblGrid>
      <w:tr w:rsidR="00510C8D" w:rsidRPr="00661434" w14:paraId="4AD406FF" w14:textId="77777777" w:rsidTr="00661434">
        <w:trPr>
          <w:trHeight w:val="3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611D5CA" w14:textId="77777777" w:rsidR="00510C8D" w:rsidRPr="00661434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Parametr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4351C4" w14:textId="77777777" w:rsidR="00510C8D" w:rsidRPr="00661434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hodnota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A4AC90" w14:textId="77777777" w:rsidR="00510C8D" w:rsidRPr="00661434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min/max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27CDA6B" w14:textId="06B89A75" w:rsidR="00510C8D" w:rsidRPr="00661434" w:rsidRDefault="00510C8D" w:rsidP="006614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splnění </w:t>
            </w:r>
            <w:r w:rsidR="00661434"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ANO/NE</w:t>
            </w:r>
          </w:p>
        </w:tc>
      </w:tr>
      <w:tr w:rsidR="00510C8D" w:rsidRPr="00510C8D" w14:paraId="6B82F59E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1D5375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Rozměr LCD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77BC8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55"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47E0D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947CC2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0C8D" w:rsidRPr="00510C8D" w14:paraId="443C8BC4" w14:textId="77777777" w:rsidTr="00661434">
        <w:trPr>
          <w:trHeight w:val="675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591C2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druh podsvícení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6D8F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LED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8D5A0" w14:textId="685A080E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 -</w:t>
            </w:r>
            <w:r w:rsidR="00E13A17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nebo</w:t>
            </w: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vyšší OLED, QLED AMOLED apod.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0B82A53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0C8D" w:rsidRPr="00510C8D" w14:paraId="4BA94E6F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AC155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rozlišení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7BFA2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FullHD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F76F4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CF344F5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0C8D" w:rsidRPr="00510C8D" w14:paraId="14347C3E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2D3AA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svítivost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EE457" w14:textId="77730C4F" w:rsidR="00510C8D" w:rsidRPr="00510C8D" w:rsidRDefault="00FC6B50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30</w:t>
            </w:r>
            <w:r w:rsidR="00510C8D"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00 cd/m2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D7AB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AF06A8E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510C8D" w:rsidRPr="00510C8D" w14:paraId="54948B0A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F0D69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kontrast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23DC9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4000:1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938DD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8D73EE4" w14:textId="77777777" w:rsidR="00510C8D" w:rsidRPr="00510C8D" w:rsidRDefault="00510C8D" w:rsidP="00510C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6B50" w:rsidRPr="00510C8D" w14:paraId="78DCCE2D" w14:textId="77777777" w:rsidTr="00FC6B50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4482B9" w14:textId="0CEDD998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Regulace podsvícení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7B5E5" w14:textId="1BC14728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50">
              <w:rPr>
                <w:rFonts w:ascii="Arial" w:hAnsi="Arial" w:cs="Arial"/>
                <w:sz w:val="20"/>
                <w:szCs w:val="20"/>
              </w:rPr>
              <w:t>Regulace podsvícení dle intenzity okolního osvětlení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9DEFF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91C9715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536F40" w:rsidRPr="00510C8D" w14:paraId="1A77E2C3" w14:textId="77777777" w:rsidTr="00FC6B50">
        <w:trPr>
          <w:trHeight w:val="529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02FA14" w14:textId="1ADA5D27" w:rsidR="00536F40" w:rsidRPr="00887D50" w:rsidRDefault="00536F40" w:rsidP="00FC6B50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Noční režim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0A81B" w14:textId="3F927F9B" w:rsidR="00536F40" w:rsidRPr="00887D50" w:rsidRDefault="00536F40" w:rsidP="00536F4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možňuje v nočních hodinách automaticky přepnout zobrazení do méně svítivého módu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E01A8" w14:textId="77777777" w:rsidR="00536F40" w:rsidRPr="00510C8D" w:rsidRDefault="00536F4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A124899" w14:textId="77777777" w:rsidR="00536F40" w:rsidRPr="00510C8D" w:rsidRDefault="00536F4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C6B50" w:rsidRPr="00510C8D" w14:paraId="55EF37D8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F325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Zabezpečení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ABD96" w14:textId="613007B1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bezpečnostní 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antireflexní </w:t>
            </w: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sklo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19F4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5688626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6B50" w:rsidRPr="00510C8D" w14:paraId="63B93901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E43B7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povrch displeje/krycího skla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B30C" w14:textId="361EA9D3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matný - nesm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í</w:t>
            </w: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být lesklý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BEF5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8DF908C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6B50" w:rsidRPr="00510C8D" w14:paraId="3B213A13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5E179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instalace kiosku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7CB74" w14:textId="4A7F0D00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PEVNÁ - stojanové provedení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4FB95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0543FD3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6B50" w:rsidRPr="00510C8D" w14:paraId="1F2B870E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DBC21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konstrukce kiosku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6FBF3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kovový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CA1CD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9B7E726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C6B50" w:rsidRPr="00510C8D" w14:paraId="370A9FC0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4D8F" w14:textId="2D9F50FB" w:rsidR="00FC6B50" w:rsidRPr="00113C1E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 xml:space="preserve">barevné provedení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440DE" w14:textId="62EDE127" w:rsidR="00FC6B50" w:rsidRPr="00113C1E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 xml:space="preserve">nerez  nebo RAL 7021 (tm. šedá)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936ED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BDCF75F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C6B50" w:rsidRPr="00510C8D" w14:paraId="6FCE2FE1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E1E11" w14:textId="540FB330" w:rsidR="00FC6B50" w:rsidRPr="00113C1E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>provoz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2B92" w14:textId="60D98283" w:rsidR="00FC6B50" w:rsidRPr="00113C1E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Calibri" w:eastAsia="Times New Roman" w:hAnsi="Calibri" w:cs="Calibri"/>
                <w:lang w:eastAsia="cs-CZ"/>
              </w:rPr>
              <w:t xml:space="preserve">24 </w:t>
            </w:r>
            <w:r w:rsidRPr="00FC6B50">
              <w:rPr>
                <w:rFonts w:ascii="Calibri" w:eastAsia="Times New Roman" w:hAnsi="Calibri" w:cs="Calibri"/>
                <w:lang w:eastAsia="cs-CZ"/>
              </w:rPr>
              <w:t>hodin denně (24/7/365)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85F20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2E6155C" w14:textId="77777777" w:rsidR="00FC6B50" w:rsidRPr="00510C8D" w:rsidRDefault="00FC6B50" w:rsidP="00FC6B5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13C4" w:rsidRPr="00510C8D" w14:paraId="6B1C135B" w14:textId="77777777" w:rsidTr="00E3003C">
        <w:trPr>
          <w:trHeight w:val="948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02D765" w14:textId="5D57D027" w:rsidR="00FF13C4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887D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Dohledov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é řešení vzdálené správy </w:t>
            </w:r>
            <w:r w:rsidRPr="00887D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kiosku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E2FF5" w14:textId="2F675DE9" w:rsidR="00FF13C4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>
              <w:rPr>
                <w:rFonts w:ascii="Arial" w:hAnsi="Arial" w:cs="Arial"/>
                <w:sz w:val="20"/>
                <w:szCs w:val="20"/>
              </w:rPr>
              <w:t>Umožňuje vzdálenou správu (restart operačního systému, restart celého zařízení)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2A3EC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67470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13C4" w:rsidRPr="00510C8D" w14:paraId="299FC2E1" w14:textId="77777777" w:rsidTr="00661434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8ED70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chlazení kiosku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9DB38" w14:textId="52D1F5EE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samostatné, vnitřní okruh chladiva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BE50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0DD6CB2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7453E4BE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3FFE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topení kiosku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C929D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samostatné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16148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CCDF59A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22885B5E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B3805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spínání topení / chlazení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10056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vlastní termostat / termoregulace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F25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B5C647F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339B9E81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5E91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napájení kiosku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CA759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230V + solární panel s baterií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CC271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D9C6356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33423D48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C808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záložní zdroj napájení - UPS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51D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2 h provozu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CEDB1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8175C70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7AD478F8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5D218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proudový chránič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99B84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FE4A8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4D3C25E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729F4D16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1C6C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ochrana kiosku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42799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IP65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FE7D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3BE9D2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497DE2ED" w14:textId="77777777" w:rsidTr="00536F40">
        <w:trPr>
          <w:trHeight w:val="982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CE438" w14:textId="116FC661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50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Odolnost vůči vnějšímu prostředí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C13C1" w14:textId="081A1FDA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887D50">
              <w:rPr>
                <w:rFonts w:ascii="Arial" w:hAnsi="Arial" w:cs="Arial"/>
                <w:sz w:val="20"/>
                <w:szCs w:val="20"/>
              </w:rPr>
              <w:t>Zařízení může být vystaveno venkovnímu prostředí (déšť, sníh, vítr</w:t>
            </w:r>
            <w:r>
              <w:rPr>
                <w:rFonts w:ascii="Arial" w:hAnsi="Arial" w:cs="Arial"/>
                <w:sz w:val="20"/>
                <w:szCs w:val="20"/>
              </w:rPr>
              <w:t>, silný mráz</w:t>
            </w:r>
            <w:r w:rsidRPr="00887D50">
              <w:rPr>
                <w:rFonts w:ascii="Arial" w:hAnsi="Arial" w:cs="Arial"/>
                <w:sz w:val="20"/>
                <w:szCs w:val="20"/>
              </w:rPr>
              <w:t xml:space="preserve">) bez další ochrany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EC407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F3367A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FF13C4" w:rsidRPr="00510C8D" w14:paraId="07387650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D2B1E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ochrana proti vandalismu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C0DEA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BEB90E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CE08E7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6AF7BE71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FA039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Bezpečnostní sklo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2774A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5 mm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F76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83EC427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7CCFFEBC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1F0AF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provozní teplota min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3854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-30°C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9E51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4528548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2A0D02EB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C5B7F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provozní teplota max.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EF1E1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+55°C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1F6F1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BB49D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1BF8073A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5B93A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možnost ovládání i z invalidního vozíku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C754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EB28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BF332FD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54CCEBF2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3A0474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99B72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D654A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C03B1E9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2636249F" w14:textId="77777777" w:rsidTr="003B5256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484748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PC: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8769802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8B27D6F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282FD2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6496D50C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B9D0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OS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01011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WIN 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53C29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721BE84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0EEF12CD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81A62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Procesor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8E017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Intel Core i5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BEEE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A7E6B81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7E3D9A5B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0FB46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RAM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453C5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8GB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E6DE6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33B1FBE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6E344D64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7893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pevný disk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731F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SSD 512 GB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55CD4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446E10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736D81A5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9F2D5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připojení k internetu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5B8CF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LAN 1000/100/10 Mb/s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FB876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A5469D9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31DC6CF8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1392A6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záložní připojení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DBFF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WIFI AC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9985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386B50D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1D29E6F3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D373D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D147F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375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9109B7D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20EB16C8" w14:textId="77777777" w:rsidTr="00661434">
        <w:trPr>
          <w:trHeight w:val="6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DB844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Vytěžování stávající úřední desky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E730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ze stávajících www stránek města znojmocity.cz - možný RSS kanál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BF83A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min. RSS kanál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0FE901A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19094420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5A841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4CF42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FE460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D92912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5EBB5F82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03E0C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elektro revize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91426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5 let v ceně pořízení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6BBB6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5EC210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3BD97365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DBE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recyklační poplatky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F6F40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v ceně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9BD7A5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BACB646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1FB8892C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CCCF9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doprava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039C8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v ceně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598E0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876C6E2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3694350C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311E3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montáž v ceně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1EE15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v ceně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77372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E34B1C2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25F59B54" w14:textId="77777777" w:rsidTr="00661434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3D177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práce technika, vč. času na cestě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7C6B4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v ceně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EC6A1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336BCCB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1CA3760A" w14:textId="77777777" w:rsidTr="0072226D">
        <w:trPr>
          <w:trHeight w:val="300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4B3D0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32BA5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E472A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F6CD13A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04228B0E" w14:textId="77777777" w:rsidTr="0072226D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41A8D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Implementace SW + HW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B608D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1 měsíc testovací provoz nebo dříve dle protokolárního předání díla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C616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AF2EAB1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510C8D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FF13C4" w:rsidRPr="00510C8D" w14:paraId="135DE100" w14:textId="77777777" w:rsidTr="0072226D">
        <w:trPr>
          <w:trHeight w:val="679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4DF52" w14:textId="0EB780E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Další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50E4" w14:textId="6D114755" w:rsidR="00FF13C4" w:rsidRPr="0072226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>Možnost připevnění skříňky pro defibrilátor AED - OZ D804 na zadní stěnu zařízení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F74C" w14:textId="77777777" w:rsidR="00FF13C4" w:rsidRPr="0072226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cs-C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FC2E87E" w14:textId="77777777" w:rsidR="00FF13C4" w:rsidRPr="00510C8D" w:rsidRDefault="00FF13C4" w:rsidP="00FF1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12586069" w14:textId="77777777" w:rsidR="00510C8D" w:rsidRDefault="00510C8D" w:rsidP="00EC2645">
      <w:pPr>
        <w:spacing w:after="0"/>
        <w:rPr>
          <w:rFonts w:asciiTheme="minorHAnsi" w:hAnsiTheme="minorHAnsi" w:cstheme="minorHAnsi"/>
          <w:b/>
          <w:bCs/>
          <w:noProof/>
          <w:lang w:eastAsia="cs-CZ"/>
        </w:rPr>
      </w:pPr>
    </w:p>
    <w:p w14:paraId="53C6B56E" w14:textId="77777777" w:rsidR="005C03D7" w:rsidRDefault="005C03D7" w:rsidP="005C03D7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4C834AFC" w14:textId="53ABD09A" w:rsidR="005C03D7" w:rsidRDefault="005C03D7" w:rsidP="005C03D7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Požadav</w:t>
      </w:r>
      <w:r w:rsidR="007B4DA7">
        <w:rPr>
          <w:rFonts w:asciiTheme="minorHAnsi" w:hAnsiTheme="minorHAnsi" w:cstheme="minorHAnsi"/>
          <w:noProof/>
          <w:lang w:eastAsia="cs-CZ"/>
        </w:rPr>
        <w:t>ané</w:t>
      </w:r>
      <w:r>
        <w:rPr>
          <w:rFonts w:asciiTheme="minorHAnsi" w:hAnsiTheme="minorHAnsi" w:cstheme="minorHAnsi"/>
          <w:noProof/>
          <w:lang w:eastAsia="cs-CZ"/>
        </w:rPr>
        <w:t xml:space="preserve"> </w:t>
      </w:r>
      <w:r w:rsidR="007B4DA7">
        <w:rPr>
          <w:rFonts w:asciiTheme="minorHAnsi" w:hAnsiTheme="minorHAnsi" w:cstheme="minorHAnsi"/>
          <w:noProof/>
          <w:lang w:eastAsia="cs-CZ"/>
        </w:rPr>
        <w:t>parametry</w:t>
      </w:r>
      <w:r>
        <w:rPr>
          <w:rFonts w:asciiTheme="minorHAnsi" w:hAnsiTheme="minorHAnsi" w:cstheme="minorHAnsi"/>
          <w:noProof/>
          <w:lang w:eastAsia="cs-CZ"/>
        </w:rPr>
        <w:t xml:space="preserve"> servisní smlouv</w:t>
      </w:r>
      <w:r w:rsidR="007B4DA7">
        <w:rPr>
          <w:rFonts w:asciiTheme="minorHAnsi" w:hAnsiTheme="minorHAnsi" w:cstheme="minorHAnsi"/>
          <w:noProof/>
          <w:lang w:eastAsia="cs-CZ"/>
        </w:rPr>
        <w:t>y</w:t>
      </w:r>
      <w:r>
        <w:rPr>
          <w:rFonts w:asciiTheme="minorHAnsi" w:hAnsiTheme="minorHAnsi" w:cstheme="minorHAnsi"/>
          <w:noProof/>
          <w:lang w:eastAsia="cs-CZ"/>
        </w:rPr>
        <w:t>:</w:t>
      </w:r>
    </w:p>
    <w:p w14:paraId="35673771" w14:textId="77777777" w:rsidR="005C03D7" w:rsidRDefault="005C03D7" w:rsidP="005C03D7">
      <w:pPr>
        <w:spacing w:after="0"/>
        <w:rPr>
          <w:rFonts w:asciiTheme="minorHAnsi" w:hAnsiTheme="minorHAnsi" w:cstheme="minorHAnsi"/>
          <w:noProof/>
          <w:lang w:eastAsia="cs-CZ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5244"/>
        <w:gridCol w:w="1418"/>
      </w:tblGrid>
      <w:tr w:rsidR="007B4DA7" w:rsidRPr="00661434" w14:paraId="5D8170BA" w14:textId="77777777" w:rsidTr="007B4DA7">
        <w:trPr>
          <w:trHeight w:val="30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B1BE6C1" w14:textId="77777777" w:rsidR="007B4DA7" w:rsidRPr="00661434" w:rsidRDefault="007B4DA7" w:rsidP="00950B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Parametr</w:t>
            </w:r>
          </w:p>
        </w:tc>
        <w:tc>
          <w:tcPr>
            <w:tcW w:w="52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87042B8" w14:textId="77777777" w:rsidR="007B4DA7" w:rsidRPr="00661434" w:rsidRDefault="007B4DA7" w:rsidP="00950B4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hodnota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7CA7899" w14:textId="77777777" w:rsidR="007B4DA7" w:rsidRPr="00661434" w:rsidRDefault="007B4DA7" w:rsidP="00950B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661434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splnění ANO/NE</w:t>
            </w:r>
          </w:p>
        </w:tc>
      </w:tr>
      <w:tr w:rsidR="007B4DA7" w:rsidRPr="00510C8D" w14:paraId="0BE2FB88" w14:textId="77777777" w:rsidTr="007B4DA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E8608" w14:textId="69778243" w:rsidR="007B4DA7" w:rsidRPr="00113C1E" w:rsidRDefault="002D63E1" w:rsidP="00950B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>Záruka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8C16B" w14:textId="1372197B" w:rsidR="007B4DA7" w:rsidRPr="00113C1E" w:rsidRDefault="003B5256" w:rsidP="00950B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>5 let v ceně pořízení, opravy bez náhr. dílů mechanického poničení (vandalismus)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2FA001C" w14:textId="77777777" w:rsidR="007B4DA7" w:rsidRPr="00113C1E" w:rsidRDefault="007B4DA7" w:rsidP="00950B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B4DA7" w:rsidRPr="00510C8D" w14:paraId="57D193B7" w14:textId="77777777" w:rsidTr="007B4DA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B828F" w14:textId="56B1834C" w:rsidR="007B4DA7" w:rsidRPr="00113C1E" w:rsidRDefault="002D63E1" w:rsidP="00950B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>Servisní zásah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C7B91" w14:textId="1135BB6C" w:rsidR="007B4DA7" w:rsidRPr="00113C1E" w:rsidRDefault="002D63E1" w:rsidP="002D63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 xml:space="preserve">Zahájení prací do 24 hodin od nahlášení poruchy. Odstranění poruchy </w:t>
            </w:r>
            <w:r w:rsidR="006533BA" w:rsidRPr="00113C1E">
              <w:rPr>
                <w:rFonts w:ascii="Calibri" w:eastAsia="Times New Roman" w:hAnsi="Calibri" w:cs="Calibri"/>
                <w:lang w:eastAsia="cs-CZ"/>
              </w:rPr>
              <w:t xml:space="preserve">(zprovoznění zařízení) </w:t>
            </w:r>
            <w:r w:rsidRPr="00113C1E">
              <w:rPr>
                <w:rFonts w:ascii="Calibri" w:eastAsia="Times New Roman" w:hAnsi="Calibri" w:cs="Calibri"/>
                <w:lang w:eastAsia="cs-CZ"/>
              </w:rPr>
              <w:t>do 48 hodin od nahlášení poruchy po dobu 5 let.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B9A418D" w14:textId="77777777" w:rsidR="007B4DA7" w:rsidRPr="00113C1E" w:rsidRDefault="007B4DA7" w:rsidP="00950B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B4DA7" w:rsidRPr="00510C8D" w14:paraId="19C6533F" w14:textId="77777777" w:rsidTr="007B4DA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CB6FD" w14:textId="08B374C0" w:rsidR="007B4DA7" w:rsidRPr="00113C1E" w:rsidRDefault="002D63E1" w:rsidP="00950B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>Cena</w:t>
            </w: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4C3C7" w14:textId="32D18E3B" w:rsidR="007B4DA7" w:rsidRPr="00113C1E" w:rsidRDefault="002D63E1" w:rsidP="002D63E1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 xml:space="preserve">V době trvání záruky zdarma (zahrnuta do pořizovací ceny díla).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02F185C" w14:textId="77777777" w:rsidR="007B4DA7" w:rsidRPr="00113C1E" w:rsidRDefault="007B4DA7" w:rsidP="00950B4C">
            <w:pPr>
              <w:spacing w:after="0" w:line="240" w:lineRule="auto"/>
              <w:rPr>
                <w:rFonts w:ascii="Calibri" w:eastAsia="Times New Roman" w:hAnsi="Calibri" w:cs="Calibri"/>
                <w:lang w:eastAsia="cs-CZ"/>
              </w:rPr>
            </w:pPr>
            <w:r w:rsidRPr="00113C1E">
              <w:rPr>
                <w:rFonts w:ascii="Calibri" w:eastAsia="Times New Roman" w:hAnsi="Calibri" w:cs="Calibri"/>
                <w:lang w:eastAsia="cs-CZ"/>
              </w:rPr>
              <w:t> </w:t>
            </w:r>
          </w:p>
        </w:tc>
      </w:tr>
      <w:tr w:rsidR="007B4DA7" w:rsidRPr="00510C8D" w14:paraId="502FE57A" w14:textId="77777777" w:rsidTr="007B4DA7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A7557" w14:textId="2D5C1F8F" w:rsidR="007B4DA7" w:rsidRPr="00510C8D" w:rsidRDefault="007B4DA7" w:rsidP="0095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5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465CA" w14:textId="2CCF722E" w:rsidR="007B4DA7" w:rsidRPr="00510C8D" w:rsidRDefault="007B4DA7" w:rsidP="0095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811066A" w14:textId="111F1393" w:rsidR="007B4DA7" w:rsidRPr="00510C8D" w:rsidRDefault="007B4DA7" w:rsidP="00950B4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14:paraId="341016A7" w14:textId="1899C723" w:rsidR="00073AF0" w:rsidRDefault="00073AF0" w:rsidP="00EC2645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1C977B5E" w14:textId="42CDCDBE" w:rsidR="0034104D" w:rsidRPr="009D6429" w:rsidRDefault="0034104D" w:rsidP="0034104D">
      <w:pPr>
        <w:spacing w:after="0"/>
        <w:rPr>
          <w:rFonts w:asciiTheme="minorHAnsi" w:hAnsiTheme="minorHAnsi" w:cstheme="minorHAnsi"/>
          <w:b/>
          <w:noProof/>
          <w:lang w:eastAsia="cs-CZ"/>
        </w:rPr>
      </w:pPr>
      <w:r w:rsidRPr="009D6429">
        <w:rPr>
          <w:rFonts w:asciiTheme="minorHAnsi" w:hAnsiTheme="minorHAnsi" w:cstheme="minorHAnsi"/>
          <w:b/>
          <w:noProof/>
          <w:lang w:eastAsia="cs-CZ"/>
        </w:rPr>
        <w:lastRenderedPageBreak/>
        <w:t>Místo instalace:</w:t>
      </w:r>
    </w:p>
    <w:p w14:paraId="4B7980C0" w14:textId="730D70E0" w:rsidR="0034104D" w:rsidRDefault="0034104D" w:rsidP="0034104D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Požadovaná</w:t>
      </w:r>
      <w:r w:rsidRPr="0034104D">
        <w:rPr>
          <w:rFonts w:asciiTheme="minorHAnsi" w:hAnsiTheme="minorHAnsi" w:cstheme="minorHAnsi"/>
          <w:noProof/>
          <w:lang w:eastAsia="cs-CZ"/>
        </w:rPr>
        <w:t xml:space="preserve"> elektronická úřední desk</w:t>
      </w:r>
      <w:r>
        <w:rPr>
          <w:rFonts w:asciiTheme="minorHAnsi" w:hAnsiTheme="minorHAnsi" w:cstheme="minorHAnsi"/>
          <w:noProof/>
          <w:lang w:eastAsia="cs-CZ"/>
        </w:rPr>
        <w:t>a</w:t>
      </w:r>
      <w:r w:rsidRPr="0034104D">
        <w:rPr>
          <w:rFonts w:asciiTheme="minorHAnsi" w:hAnsiTheme="minorHAnsi" w:cstheme="minorHAnsi"/>
          <w:noProof/>
          <w:lang w:eastAsia="cs-CZ"/>
        </w:rPr>
        <w:t xml:space="preserve"> bude umístěna ve venkovním prostředí </w:t>
      </w:r>
      <w:r>
        <w:rPr>
          <w:rFonts w:asciiTheme="minorHAnsi" w:hAnsiTheme="minorHAnsi" w:cstheme="minorHAnsi"/>
          <w:noProof/>
          <w:lang w:eastAsia="cs-CZ"/>
        </w:rPr>
        <w:t>na ulici</w:t>
      </w:r>
      <w:r w:rsidRPr="0034104D">
        <w:rPr>
          <w:rFonts w:asciiTheme="minorHAnsi" w:hAnsiTheme="minorHAnsi" w:cstheme="minorHAnsi"/>
          <w:noProof/>
          <w:lang w:eastAsia="cs-CZ"/>
        </w:rPr>
        <w:t xml:space="preserve"> </w:t>
      </w:r>
      <w:r>
        <w:rPr>
          <w:rFonts w:asciiTheme="minorHAnsi" w:hAnsiTheme="minorHAnsi" w:cstheme="minorHAnsi"/>
          <w:noProof/>
          <w:lang w:eastAsia="cs-CZ"/>
        </w:rPr>
        <w:t xml:space="preserve">Obroková před vchodme do Turistického informačního centra (souřadnice </w:t>
      </w:r>
      <w:r w:rsidRPr="0034104D">
        <w:rPr>
          <w:rFonts w:asciiTheme="minorHAnsi" w:hAnsiTheme="minorHAnsi" w:cstheme="minorHAnsi"/>
          <w:noProof/>
          <w:lang w:eastAsia="cs-CZ"/>
        </w:rPr>
        <w:t>48.8556372N, 16.0486594E</w:t>
      </w:r>
      <w:r>
        <w:rPr>
          <w:rFonts w:asciiTheme="minorHAnsi" w:hAnsiTheme="minorHAnsi" w:cstheme="minorHAnsi"/>
          <w:noProof/>
          <w:lang w:eastAsia="cs-CZ"/>
        </w:rPr>
        <w:t>)</w:t>
      </w:r>
      <w:r w:rsidRPr="0034104D">
        <w:rPr>
          <w:rFonts w:asciiTheme="minorHAnsi" w:hAnsiTheme="minorHAnsi" w:cstheme="minorHAnsi"/>
          <w:noProof/>
          <w:lang w:eastAsia="cs-CZ"/>
        </w:rPr>
        <w:t xml:space="preserve">, formou volně stojícího zařízení (panelu) na </w:t>
      </w:r>
      <w:r w:rsidR="001B23D0" w:rsidRPr="001B23D0">
        <w:rPr>
          <w:rFonts w:asciiTheme="minorHAnsi" w:hAnsiTheme="minorHAnsi" w:cstheme="minorHAnsi"/>
          <w:noProof/>
          <w:lang w:eastAsia="cs-CZ"/>
        </w:rPr>
        <w:t>p</w:t>
      </w:r>
      <w:r w:rsidR="001B23D0">
        <w:rPr>
          <w:rFonts w:asciiTheme="minorHAnsi" w:hAnsiTheme="minorHAnsi" w:cstheme="minorHAnsi"/>
          <w:noProof/>
          <w:lang w:eastAsia="cs-CZ"/>
        </w:rPr>
        <w:t>arcele</w:t>
      </w:r>
      <w:r w:rsidR="001B23D0" w:rsidRPr="001B23D0">
        <w:rPr>
          <w:rFonts w:asciiTheme="minorHAnsi" w:hAnsiTheme="minorHAnsi" w:cstheme="minorHAnsi"/>
          <w:noProof/>
          <w:lang w:eastAsia="cs-CZ"/>
        </w:rPr>
        <w:t xml:space="preserve"> č. 5276, ostatní komunikace, k.ú. Znojmo-město</w:t>
      </w:r>
      <w:r w:rsidR="00681A09" w:rsidRPr="00681A09">
        <w:rPr>
          <w:rFonts w:asciiTheme="minorHAnsi" w:hAnsiTheme="minorHAnsi" w:cstheme="minorHAnsi"/>
          <w:noProof/>
          <w:lang w:eastAsia="cs-CZ"/>
        </w:rPr>
        <w:t xml:space="preserve"> (okres Znojmo);793418</w:t>
      </w:r>
      <w:r w:rsidRPr="0034104D">
        <w:rPr>
          <w:rFonts w:asciiTheme="minorHAnsi" w:hAnsiTheme="minorHAnsi" w:cstheme="minorHAnsi"/>
          <w:noProof/>
          <w:lang w:eastAsia="cs-CZ"/>
        </w:rPr>
        <w:t xml:space="preserve">. Vlastníkem pozemku je město </w:t>
      </w:r>
      <w:r w:rsidR="00681A09">
        <w:rPr>
          <w:rFonts w:asciiTheme="minorHAnsi" w:hAnsiTheme="minorHAnsi" w:cstheme="minorHAnsi"/>
          <w:noProof/>
          <w:lang w:eastAsia="cs-CZ"/>
        </w:rPr>
        <w:t>Znojmo</w:t>
      </w:r>
      <w:r w:rsidRPr="0034104D">
        <w:rPr>
          <w:rFonts w:asciiTheme="minorHAnsi" w:hAnsiTheme="minorHAnsi" w:cstheme="minorHAnsi"/>
          <w:noProof/>
          <w:lang w:eastAsia="cs-CZ"/>
        </w:rPr>
        <w:t>.</w:t>
      </w:r>
    </w:p>
    <w:p w14:paraId="10026831" w14:textId="40D733ED" w:rsidR="00681A09" w:rsidRDefault="00681A09" w:rsidP="0034104D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>Elektronická úřední deska nahradí stávající informační tabuli s defibrilátorm. Informační tabule bude demontována</w:t>
      </w:r>
      <w:r w:rsidR="009B0678">
        <w:rPr>
          <w:rFonts w:asciiTheme="minorHAnsi" w:hAnsiTheme="minorHAnsi" w:cstheme="minorHAnsi"/>
          <w:noProof/>
          <w:lang w:eastAsia="cs-CZ"/>
        </w:rPr>
        <w:t xml:space="preserve"> na náklady zadavatele</w:t>
      </w:r>
      <w:r>
        <w:rPr>
          <w:rFonts w:asciiTheme="minorHAnsi" w:hAnsiTheme="minorHAnsi" w:cstheme="minorHAnsi"/>
          <w:noProof/>
          <w:lang w:eastAsia="cs-CZ"/>
        </w:rPr>
        <w:t xml:space="preserve"> a zmíněný defibrilátor bude připevněn na zadní stěnu úřední desky. </w:t>
      </w:r>
    </w:p>
    <w:p w14:paraId="43AE0F21" w14:textId="77777777" w:rsidR="009D6429" w:rsidRDefault="009D6429" w:rsidP="0034104D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00BAEC7E" w14:textId="4B7C23A2" w:rsidR="009D6429" w:rsidRPr="009D6429" w:rsidRDefault="009D6429" w:rsidP="009D6429">
      <w:pPr>
        <w:spacing w:after="0"/>
        <w:rPr>
          <w:rFonts w:asciiTheme="minorHAnsi" w:hAnsiTheme="minorHAnsi" w:cstheme="minorHAnsi"/>
          <w:b/>
          <w:noProof/>
          <w:lang w:eastAsia="cs-CZ"/>
        </w:rPr>
      </w:pPr>
      <w:r w:rsidRPr="009D6429">
        <w:rPr>
          <w:rFonts w:asciiTheme="minorHAnsi" w:hAnsiTheme="minorHAnsi" w:cstheme="minorHAnsi"/>
          <w:b/>
          <w:noProof/>
          <w:lang w:eastAsia="cs-CZ"/>
        </w:rPr>
        <w:t>Připravenost pro montáž dodaného HW:</w:t>
      </w:r>
    </w:p>
    <w:p w14:paraId="07874DF7" w14:textId="3BC2921D" w:rsidR="009D6429" w:rsidRDefault="009D6429" w:rsidP="009D6429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9D6429">
        <w:rPr>
          <w:rFonts w:asciiTheme="minorHAnsi" w:hAnsiTheme="minorHAnsi" w:cstheme="minorHAnsi"/>
          <w:noProof/>
          <w:lang w:eastAsia="cs-CZ"/>
        </w:rPr>
        <w:t>Stavební připravenost lokalit</w:t>
      </w:r>
      <w:r>
        <w:rPr>
          <w:rFonts w:asciiTheme="minorHAnsi" w:hAnsiTheme="minorHAnsi" w:cstheme="minorHAnsi"/>
          <w:noProof/>
          <w:lang w:eastAsia="cs-CZ"/>
        </w:rPr>
        <w:t>y</w:t>
      </w:r>
      <w:r w:rsidRPr="009D6429">
        <w:rPr>
          <w:rFonts w:asciiTheme="minorHAnsi" w:hAnsiTheme="minorHAnsi" w:cstheme="minorHAnsi"/>
          <w:noProof/>
          <w:lang w:eastAsia="cs-CZ"/>
        </w:rPr>
        <w:t xml:space="preserve"> pro instalaci </w:t>
      </w:r>
      <w:r>
        <w:rPr>
          <w:rFonts w:asciiTheme="minorHAnsi" w:hAnsiTheme="minorHAnsi" w:cstheme="minorHAnsi"/>
          <w:noProof/>
          <w:lang w:eastAsia="cs-CZ"/>
        </w:rPr>
        <w:t>úřední desky</w:t>
      </w:r>
      <w:r w:rsidRPr="009D6429">
        <w:rPr>
          <w:rFonts w:asciiTheme="minorHAnsi" w:hAnsiTheme="minorHAnsi" w:cstheme="minorHAnsi"/>
          <w:noProof/>
          <w:lang w:eastAsia="cs-CZ"/>
        </w:rPr>
        <w:t xml:space="preserve"> není předmětem výběrového řízení</w:t>
      </w:r>
      <w:r w:rsidR="00BD4434">
        <w:rPr>
          <w:rFonts w:asciiTheme="minorHAnsi" w:hAnsiTheme="minorHAnsi" w:cstheme="minorHAnsi"/>
          <w:noProof/>
          <w:lang w:eastAsia="cs-CZ"/>
        </w:rPr>
        <w:t>,</w:t>
      </w:r>
      <w:r>
        <w:rPr>
          <w:rFonts w:asciiTheme="minorHAnsi" w:hAnsiTheme="minorHAnsi" w:cstheme="minorHAnsi"/>
          <w:noProof/>
          <w:lang w:eastAsia="cs-CZ"/>
        </w:rPr>
        <w:t> </w:t>
      </w:r>
      <w:r w:rsidRPr="009D6429">
        <w:rPr>
          <w:rFonts w:asciiTheme="minorHAnsi" w:hAnsiTheme="minorHAnsi" w:cstheme="minorHAnsi"/>
          <w:noProof/>
          <w:lang w:eastAsia="cs-CZ"/>
        </w:rPr>
        <w:t>Zadavatel tyto činnosti zajistí a provede na své náklady</w:t>
      </w:r>
      <w:r w:rsidR="00BD4434">
        <w:rPr>
          <w:rFonts w:asciiTheme="minorHAnsi" w:hAnsiTheme="minorHAnsi" w:cstheme="minorHAnsi"/>
          <w:noProof/>
          <w:lang w:eastAsia="cs-CZ"/>
        </w:rPr>
        <w:t xml:space="preserve"> - </w:t>
      </w:r>
      <w:r w:rsidR="00BD4434" w:rsidRPr="00BD4434">
        <w:rPr>
          <w:rFonts w:asciiTheme="minorHAnsi" w:hAnsiTheme="minorHAnsi" w:cstheme="minorHAnsi"/>
          <w:noProof/>
          <w:lang w:eastAsia="cs-CZ"/>
        </w:rPr>
        <w:t>napájení 230V/16A, zemnící vodič</w:t>
      </w:r>
      <w:r w:rsidR="00BD4434">
        <w:rPr>
          <w:rFonts w:asciiTheme="minorHAnsi" w:hAnsiTheme="minorHAnsi" w:cstheme="minorHAnsi"/>
          <w:noProof/>
          <w:lang w:eastAsia="cs-CZ"/>
        </w:rPr>
        <w:t>,</w:t>
      </w:r>
      <w:r w:rsidR="00BD4434" w:rsidRPr="00BD4434">
        <w:rPr>
          <w:rFonts w:asciiTheme="minorHAnsi" w:hAnsiTheme="minorHAnsi" w:cstheme="minorHAnsi"/>
          <w:noProof/>
          <w:lang w:eastAsia="cs-CZ"/>
        </w:rPr>
        <w:t xml:space="preserve"> datov</w:t>
      </w:r>
      <w:r w:rsidR="00BD4434">
        <w:rPr>
          <w:rFonts w:asciiTheme="minorHAnsi" w:hAnsiTheme="minorHAnsi" w:cstheme="minorHAnsi"/>
          <w:noProof/>
          <w:lang w:eastAsia="cs-CZ"/>
        </w:rPr>
        <w:t>á</w:t>
      </w:r>
      <w:r w:rsidR="00BD4434" w:rsidRPr="00BD4434">
        <w:rPr>
          <w:rFonts w:asciiTheme="minorHAnsi" w:hAnsiTheme="minorHAnsi" w:cstheme="minorHAnsi"/>
          <w:noProof/>
          <w:lang w:eastAsia="cs-CZ"/>
        </w:rPr>
        <w:t xml:space="preserve"> konektivit</w:t>
      </w:r>
      <w:r w:rsidR="00BD4434">
        <w:rPr>
          <w:rFonts w:asciiTheme="minorHAnsi" w:hAnsiTheme="minorHAnsi" w:cstheme="minorHAnsi"/>
          <w:noProof/>
          <w:lang w:eastAsia="cs-CZ"/>
        </w:rPr>
        <w:t>a</w:t>
      </w:r>
      <w:r w:rsidRPr="009D6429">
        <w:rPr>
          <w:rFonts w:asciiTheme="minorHAnsi" w:hAnsiTheme="minorHAnsi" w:cstheme="minorHAnsi"/>
          <w:noProof/>
          <w:lang w:eastAsia="cs-CZ"/>
        </w:rPr>
        <w:t>.</w:t>
      </w:r>
      <w:r w:rsidR="000233DC">
        <w:rPr>
          <w:rFonts w:asciiTheme="minorHAnsi" w:hAnsiTheme="minorHAnsi" w:cstheme="minorHAnsi"/>
          <w:noProof/>
          <w:lang w:eastAsia="cs-CZ"/>
        </w:rPr>
        <w:t xml:space="preserve"> </w:t>
      </w:r>
      <w:r w:rsidR="00E94881">
        <w:rPr>
          <w:rFonts w:asciiTheme="minorHAnsi" w:hAnsiTheme="minorHAnsi" w:cstheme="minorHAnsi"/>
          <w:noProof/>
          <w:lang w:eastAsia="cs-CZ"/>
        </w:rPr>
        <w:t>B</w:t>
      </w:r>
      <w:r w:rsidR="00E94881" w:rsidRPr="00BD4434">
        <w:rPr>
          <w:rFonts w:asciiTheme="minorHAnsi" w:hAnsiTheme="minorHAnsi" w:cstheme="minorHAnsi"/>
          <w:noProof/>
          <w:lang w:eastAsia="cs-CZ"/>
        </w:rPr>
        <w:t>etonový podstavec</w:t>
      </w:r>
      <w:r w:rsidR="00E94881">
        <w:rPr>
          <w:rFonts w:asciiTheme="minorHAnsi" w:hAnsiTheme="minorHAnsi" w:cstheme="minorHAnsi"/>
          <w:noProof/>
          <w:lang w:eastAsia="cs-CZ"/>
        </w:rPr>
        <w:t xml:space="preserve"> pro instalaci úřední desky bude součástí dodávky a jeho zbudování zajistí účastník</w:t>
      </w:r>
      <w:r w:rsidR="000233DC">
        <w:rPr>
          <w:rFonts w:asciiTheme="minorHAnsi" w:hAnsiTheme="minorHAnsi" w:cstheme="minorHAnsi"/>
          <w:noProof/>
          <w:lang w:eastAsia="cs-CZ"/>
        </w:rPr>
        <w:t>.</w:t>
      </w:r>
    </w:p>
    <w:p w14:paraId="29FBB52E" w14:textId="77777777" w:rsidR="00A304EC" w:rsidRDefault="00A304EC" w:rsidP="009D6429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38625D89" w14:textId="3A4219B7" w:rsidR="00A304EC" w:rsidRPr="00A304EC" w:rsidRDefault="00A304EC" w:rsidP="009D6429">
      <w:pPr>
        <w:spacing w:after="0"/>
        <w:rPr>
          <w:rFonts w:asciiTheme="minorHAnsi" w:hAnsiTheme="minorHAnsi" w:cstheme="minorHAnsi"/>
          <w:b/>
          <w:noProof/>
          <w:lang w:eastAsia="cs-CZ"/>
        </w:rPr>
      </w:pPr>
      <w:r w:rsidRPr="00A304EC">
        <w:rPr>
          <w:rFonts w:asciiTheme="minorHAnsi" w:hAnsiTheme="minorHAnsi" w:cstheme="minorHAnsi"/>
          <w:b/>
          <w:noProof/>
          <w:lang w:eastAsia="cs-CZ"/>
        </w:rPr>
        <w:t>Požadavky na aplikaci (sw) úřední desky:</w:t>
      </w:r>
    </w:p>
    <w:p w14:paraId="7672CF78" w14:textId="61825FAB" w:rsidR="00A304EC" w:rsidRPr="00A304EC" w:rsidRDefault="00A304EC" w:rsidP="00A304EC">
      <w:pPr>
        <w:spacing w:after="0"/>
        <w:rPr>
          <w:rFonts w:asciiTheme="minorHAnsi" w:hAnsiTheme="minorHAnsi" w:cstheme="minorHAnsi"/>
          <w:noProof/>
          <w:lang w:eastAsia="cs-CZ"/>
        </w:rPr>
      </w:pPr>
      <w:r>
        <w:rPr>
          <w:rFonts w:asciiTheme="minorHAnsi" w:hAnsiTheme="minorHAnsi" w:cstheme="minorHAnsi"/>
          <w:noProof/>
          <w:lang w:eastAsia="cs-CZ"/>
        </w:rPr>
        <w:t xml:space="preserve">Softwarová aplikace úřední desky musí splňovat </w:t>
      </w:r>
      <w:r w:rsidRPr="00A304EC">
        <w:rPr>
          <w:rFonts w:asciiTheme="minorHAnsi" w:hAnsiTheme="minorHAnsi" w:cstheme="minorHAnsi"/>
          <w:noProof/>
          <w:lang w:eastAsia="cs-CZ"/>
        </w:rPr>
        <w:t>zákonné požadavky týkající se úředních desek správních orgánů</w:t>
      </w:r>
      <w:r>
        <w:rPr>
          <w:rFonts w:asciiTheme="minorHAnsi" w:hAnsiTheme="minorHAnsi" w:cstheme="minorHAnsi"/>
          <w:noProof/>
          <w:lang w:eastAsia="cs-CZ"/>
        </w:rPr>
        <w:t xml:space="preserve">, které </w:t>
      </w:r>
      <w:r w:rsidRPr="00A304EC">
        <w:rPr>
          <w:rFonts w:asciiTheme="minorHAnsi" w:hAnsiTheme="minorHAnsi" w:cstheme="minorHAnsi"/>
          <w:noProof/>
          <w:lang w:eastAsia="cs-CZ"/>
        </w:rPr>
        <w:t>jsou upraveny v § 26 správního řádu. Podle odstavce 1 tohoto ustanovení zřizuje úřední desku každý správní orgán, přičemž tato musí být nepřetržitě veřejně přístupná. Účelem úřední desky je informovat dotčené osoby o písemnostech doručovaných veřejnou vyhláškou, resp. o jejich obsahu, a o dalších písemnostech zveřejňovaných na úřední desce. Z</w:t>
      </w:r>
      <w:r>
        <w:rPr>
          <w:rFonts w:asciiTheme="minorHAnsi" w:hAnsiTheme="minorHAnsi" w:cstheme="minorHAnsi"/>
          <w:noProof/>
          <w:lang w:eastAsia="cs-CZ"/>
        </w:rPr>
        <w:t> </w:t>
      </w:r>
      <w:r w:rsidRPr="00A304EC">
        <w:rPr>
          <w:rFonts w:asciiTheme="minorHAnsi" w:hAnsiTheme="minorHAnsi" w:cstheme="minorHAnsi"/>
          <w:noProof/>
          <w:lang w:eastAsia="cs-CZ"/>
        </w:rPr>
        <w:t xml:space="preserve">pohledu dotčené osoby přitom není rozhodné, zda se s písemností seznámí prostřednictvím fyzicky vyvěšené listiny anebo prostřednictvím technického zařízení, které obsah vyvěšené listiny zobrazí. </w:t>
      </w:r>
    </w:p>
    <w:p w14:paraId="2D8E1805" w14:textId="77777777" w:rsidR="00A304EC" w:rsidRPr="00A304EC" w:rsidRDefault="00A304EC" w:rsidP="00A304EC">
      <w:pPr>
        <w:spacing w:after="0"/>
        <w:rPr>
          <w:rFonts w:asciiTheme="minorHAnsi" w:hAnsiTheme="minorHAnsi" w:cstheme="minorHAnsi"/>
          <w:noProof/>
          <w:lang w:eastAsia="cs-CZ"/>
        </w:rPr>
      </w:pPr>
    </w:p>
    <w:p w14:paraId="00F10B10" w14:textId="299545EF" w:rsidR="00A304EC" w:rsidRPr="00702724" w:rsidRDefault="00A304EC" w:rsidP="00A304EC">
      <w:pPr>
        <w:spacing w:after="0"/>
        <w:rPr>
          <w:rFonts w:asciiTheme="minorHAnsi" w:hAnsiTheme="minorHAnsi" w:cstheme="minorHAnsi"/>
          <w:noProof/>
          <w:lang w:eastAsia="cs-CZ"/>
        </w:rPr>
      </w:pPr>
      <w:r w:rsidRPr="00A304EC">
        <w:rPr>
          <w:rFonts w:asciiTheme="minorHAnsi" w:hAnsiTheme="minorHAnsi" w:cstheme="minorHAnsi"/>
          <w:noProof/>
          <w:lang w:eastAsia="cs-CZ"/>
        </w:rPr>
        <w:t>Předpokladem nahrazení fyzické úřední desky technickým zařízením (digitální</w:t>
      </w:r>
      <w:r>
        <w:rPr>
          <w:rFonts w:asciiTheme="minorHAnsi" w:hAnsiTheme="minorHAnsi" w:cstheme="minorHAnsi"/>
          <w:noProof/>
          <w:lang w:eastAsia="cs-CZ"/>
        </w:rPr>
        <w:t>m</w:t>
      </w:r>
      <w:r w:rsidRPr="00A304EC">
        <w:rPr>
          <w:rFonts w:asciiTheme="minorHAnsi" w:hAnsiTheme="minorHAnsi" w:cstheme="minorHAnsi"/>
          <w:noProof/>
          <w:lang w:eastAsia="cs-CZ"/>
        </w:rPr>
        <w:t xml:space="preserve"> dotykovým panelem) je jednoduchá ovladatelnost technického zařízení. V případě zřízení elektronické úřední desky je povinnost plynoucí z § 26 odst. 1 správního řádu splněna, nedojde-li ke znemožnění realizace práv dotčené osoby např. z toho důvodu, že tato osoba nedokáže sama z technického zařízení potřebné informace získat. Elektronickou úřední desku je tak možné zřídit pouze za podmínky, že obsluha technického zařízení, kde bude přístupný celý obsah úřední desky, bude bez komp</w:t>
      </w:r>
      <w:r w:rsidR="000233DC">
        <w:rPr>
          <w:rFonts w:asciiTheme="minorHAnsi" w:hAnsiTheme="minorHAnsi" w:cstheme="minorHAnsi"/>
          <w:noProof/>
          <w:lang w:eastAsia="cs-CZ"/>
        </w:rPr>
        <w:t>likací zvládnutelná pro každého,</w:t>
      </w:r>
      <w:r w:rsidRPr="00A304EC">
        <w:rPr>
          <w:rFonts w:asciiTheme="minorHAnsi" w:hAnsiTheme="minorHAnsi" w:cstheme="minorHAnsi"/>
          <w:noProof/>
          <w:lang w:eastAsia="cs-CZ"/>
        </w:rPr>
        <w:t xml:space="preserve"> požadovaný dokument by tak měl být zobrazen po minimálním počtu jednoduchých kroků. Z § 26 správního řádu vyplývá též podmínka nepřetržité přístupnosti úřední desky veřejnosti, tj. i nepřetržité přístupnosti digitálního dotykového panelu sloužícího jako úřední deska.</w:t>
      </w:r>
    </w:p>
    <w:sectPr w:rsidR="00A304EC" w:rsidRPr="00702724" w:rsidSect="00875A72">
      <w:pgSz w:w="11910" w:h="16840"/>
      <w:pgMar w:top="1134" w:right="1418" w:bottom="851" w:left="1418" w:header="709" w:footer="771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1A26BE" w14:textId="77777777" w:rsidR="00AF2F15" w:rsidRDefault="00AF2F15" w:rsidP="00EC2645">
      <w:pPr>
        <w:spacing w:after="0" w:line="240" w:lineRule="auto"/>
      </w:pPr>
      <w:r>
        <w:separator/>
      </w:r>
    </w:p>
  </w:endnote>
  <w:endnote w:type="continuationSeparator" w:id="0">
    <w:p w14:paraId="29890E4B" w14:textId="77777777" w:rsidR="00AF2F15" w:rsidRDefault="00AF2F15" w:rsidP="00EC2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99F5E9" w14:textId="77777777" w:rsidR="00AF2F15" w:rsidRDefault="00AF2F15" w:rsidP="00EC2645">
      <w:pPr>
        <w:spacing w:after="0" w:line="240" w:lineRule="auto"/>
      </w:pPr>
      <w:r>
        <w:separator/>
      </w:r>
    </w:p>
  </w:footnote>
  <w:footnote w:type="continuationSeparator" w:id="0">
    <w:p w14:paraId="3EBD2270" w14:textId="77777777" w:rsidR="00AF2F15" w:rsidRDefault="00AF2F15" w:rsidP="00EC26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87B8E"/>
    <w:multiLevelType w:val="hybridMultilevel"/>
    <w:tmpl w:val="F2E4D7C2"/>
    <w:lvl w:ilvl="0" w:tplc="904668A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84C92"/>
    <w:multiLevelType w:val="hybridMultilevel"/>
    <w:tmpl w:val="68FCFDAC"/>
    <w:lvl w:ilvl="0" w:tplc="462093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43628"/>
    <w:multiLevelType w:val="hybridMultilevel"/>
    <w:tmpl w:val="CD20C968"/>
    <w:lvl w:ilvl="0" w:tplc="7780CCB4">
      <w:start w:val="51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803A7C"/>
    <w:multiLevelType w:val="hybridMultilevel"/>
    <w:tmpl w:val="EB0CB7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CE6905"/>
    <w:multiLevelType w:val="hybridMultilevel"/>
    <w:tmpl w:val="694C1E80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332B"/>
    <w:multiLevelType w:val="hybridMultilevel"/>
    <w:tmpl w:val="CC9C154E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F62E58"/>
    <w:multiLevelType w:val="hybridMultilevel"/>
    <w:tmpl w:val="61A2F1A2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51264"/>
    <w:multiLevelType w:val="hybridMultilevel"/>
    <w:tmpl w:val="75B405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5148F8"/>
    <w:multiLevelType w:val="hybridMultilevel"/>
    <w:tmpl w:val="11065E66"/>
    <w:lvl w:ilvl="0" w:tplc="D174C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645"/>
    <w:rsid w:val="000233DC"/>
    <w:rsid w:val="000261D3"/>
    <w:rsid w:val="00036C4E"/>
    <w:rsid w:val="00073AF0"/>
    <w:rsid w:val="00084588"/>
    <w:rsid w:val="00091027"/>
    <w:rsid w:val="000A06B7"/>
    <w:rsid w:val="00113C1E"/>
    <w:rsid w:val="001269FD"/>
    <w:rsid w:val="001B23D0"/>
    <w:rsid w:val="001C296F"/>
    <w:rsid w:val="001E7459"/>
    <w:rsid w:val="00286BC2"/>
    <w:rsid w:val="002D63E1"/>
    <w:rsid w:val="00334C90"/>
    <w:rsid w:val="0034104D"/>
    <w:rsid w:val="0035543B"/>
    <w:rsid w:val="003B5256"/>
    <w:rsid w:val="003D0169"/>
    <w:rsid w:val="00495E2E"/>
    <w:rsid w:val="004E0188"/>
    <w:rsid w:val="004F4544"/>
    <w:rsid w:val="00502D53"/>
    <w:rsid w:val="00510C8D"/>
    <w:rsid w:val="00514317"/>
    <w:rsid w:val="00536F40"/>
    <w:rsid w:val="005426D3"/>
    <w:rsid w:val="00546959"/>
    <w:rsid w:val="00554298"/>
    <w:rsid w:val="005616B2"/>
    <w:rsid w:val="00577E18"/>
    <w:rsid w:val="005A6DE4"/>
    <w:rsid w:val="005B2135"/>
    <w:rsid w:val="005B2AF4"/>
    <w:rsid w:val="005B6FE7"/>
    <w:rsid w:val="005C03D7"/>
    <w:rsid w:val="005D6D13"/>
    <w:rsid w:val="005E20B0"/>
    <w:rsid w:val="0060228C"/>
    <w:rsid w:val="0060242D"/>
    <w:rsid w:val="0062379F"/>
    <w:rsid w:val="0064186F"/>
    <w:rsid w:val="006533BA"/>
    <w:rsid w:val="00661434"/>
    <w:rsid w:val="00681A09"/>
    <w:rsid w:val="006A4252"/>
    <w:rsid w:val="006E224F"/>
    <w:rsid w:val="00702724"/>
    <w:rsid w:val="0072097B"/>
    <w:rsid w:val="0072226D"/>
    <w:rsid w:val="00780C4E"/>
    <w:rsid w:val="007839DC"/>
    <w:rsid w:val="00796177"/>
    <w:rsid w:val="007B4DA7"/>
    <w:rsid w:val="008416F5"/>
    <w:rsid w:val="00853370"/>
    <w:rsid w:val="00853834"/>
    <w:rsid w:val="00875A72"/>
    <w:rsid w:val="008A24D9"/>
    <w:rsid w:val="008A5D3A"/>
    <w:rsid w:val="008F197E"/>
    <w:rsid w:val="008F4500"/>
    <w:rsid w:val="00951CAD"/>
    <w:rsid w:val="00952D65"/>
    <w:rsid w:val="009765D7"/>
    <w:rsid w:val="009B0678"/>
    <w:rsid w:val="009D181E"/>
    <w:rsid w:val="009D6429"/>
    <w:rsid w:val="009E47CA"/>
    <w:rsid w:val="00A012EB"/>
    <w:rsid w:val="00A208E1"/>
    <w:rsid w:val="00A25D44"/>
    <w:rsid w:val="00A263AD"/>
    <w:rsid w:val="00A304EC"/>
    <w:rsid w:val="00A7354B"/>
    <w:rsid w:val="00A77903"/>
    <w:rsid w:val="00A96305"/>
    <w:rsid w:val="00AC51E6"/>
    <w:rsid w:val="00AD5BD8"/>
    <w:rsid w:val="00AF2F15"/>
    <w:rsid w:val="00AF5B0F"/>
    <w:rsid w:val="00BA7013"/>
    <w:rsid w:val="00BC00A4"/>
    <w:rsid w:val="00BD4434"/>
    <w:rsid w:val="00BF6ED9"/>
    <w:rsid w:val="00C21912"/>
    <w:rsid w:val="00C42F88"/>
    <w:rsid w:val="00C776DD"/>
    <w:rsid w:val="00CD25A1"/>
    <w:rsid w:val="00DA0956"/>
    <w:rsid w:val="00DB21CD"/>
    <w:rsid w:val="00DB2F7C"/>
    <w:rsid w:val="00E13A17"/>
    <w:rsid w:val="00E213F3"/>
    <w:rsid w:val="00E22DF7"/>
    <w:rsid w:val="00E3003C"/>
    <w:rsid w:val="00E346A3"/>
    <w:rsid w:val="00E640A6"/>
    <w:rsid w:val="00E7282E"/>
    <w:rsid w:val="00E94881"/>
    <w:rsid w:val="00EA0C8D"/>
    <w:rsid w:val="00EB4A3B"/>
    <w:rsid w:val="00EC2645"/>
    <w:rsid w:val="00ED462A"/>
    <w:rsid w:val="00ED6287"/>
    <w:rsid w:val="00EF5DD4"/>
    <w:rsid w:val="00F17C6C"/>
    <w:rsid w:val="00F30B66"/>
    <w:rsid w:val="00F33434"/>
    <w:rsid w:val="00F37F3D"/>
    <w:rsid w:val="00F47548"/>
    <w:rsid w:val="00F516A7"/>
    <w:rsid w:val="00F8003B"/>
    <w:rsid w:val="00FA790D"/>
    <w:rsid w:val="00FC6B50"/>
    <w:rsid w:val="00FD5E2F"/>
    <w:rsid w:val="00FF1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995B6"/>
  <w15:chartTrackingRefBased/>
  <w15:docId w15:val="{F7625A8D-8970-4B16-945D-C1E401E96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2645"/>
    <w:pPr>
      <w:spacing w:after="200" w:line="276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C264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645"/>
    <w:rPr>
      <w:rFonts w:ascii="Times New Roman" w:eastAsia="Calibri" w:hAnsi="Times New Roman" w:cs="Times New Roman"/>
    </w:rPr>
  </w:style>
  <w:style w:type="paragraph" w:customStyle="1" w:styleId="ListParagraph3">
    <w:name w:val="List Paragraph3"/>
    <w:basedOn w:val="Normln"/>
    <w:rsid w:val="00EC2645"/>
    <w:pPr>
      <w:spacing w:after="0" w:line="240" w:lineRule="auto"/>
      <w:ind w:left="720"/>
    </w:pPr>
    <w:rPr>
      <w:rFonts w:ascii="Calibri" w:eastAsia="Times New Roman" w:hAnsi="Calibri" w:cs="Calibri"/>
      <w:lang w:val="en-US"/>
    </w:rPr>
  </w:style>
  <w:style w:type="paragraph" w:styleId="Zpat">
    <w:name w:val="footer"/>
    <w:basedOn w:val="Normln"/>
    <w:link w:val="ZpatChar"/>
    <w:uiPriority w:val="99"/>
    <w:unhideWhenUsed/>
    <w:rsid w:val="00EC2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645"/>
    <w:rPr>
      <w:rFonts w:ascii="Times New Roman" w:eastAsia="Calibri" w:hAnsi="Times New Roman" w:cs="Times New Roman"/>
    </w:rPr>
  </w:style>
  <w:style w:type="table" w:styleId="Mkatabulky">
    <w:name w:val="Table Grid"/>
    <w:basedOn w:val="Normlntabulka"/>
    <w:uiPriority w:val="59"/>
    <w:rsid w:val="00A01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495E2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77E1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77E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8A4C9-A43C-4003-B51B-20BB57266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8023</TotalTime>
  <Pages>3</Pages>
  <Words>876</Words>
  <Characters>5169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Otepka Lubomír</dc:creator>
  <cp:keywords/>
  <dc:description/>
  <cp:lastModifiedBy>Otepka Lubomír</cp:lastModifiedBy>
  <cp:revision>63</cp:revision>
  <cp:lastPrinted>2021-10-05T10:45:00Z</cp:lastPrinted>
  <dcterms:created xsi:type="dcterms:W3CDTF">2020-04-16T16:01:00Z</dcterms:created>
  <dcterms:modified xsi:type="dcterms:W3CDTF">2021-10-05T11:06:00Z</dcterms:modified>
</cp:coreProperties>
</file>