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2FE6B8D7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  <w:r w:rsidR="00260353">
        <w:rPr>
          <w:rStyle w:val="Hypertextovprepojenie"/>
          <w:rFonts w:ascii="Times New Roman" w:hAnsi="Times New Roman"/>
          <w:sz w:val="24"/>
          <w:szCs w:val="24"/>
        </w:rPr>
        <w:t xml:space="preserve">  </w:t>
      </w:r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05B6BAB" w14:textId="77777777" w:rsidR="004649CB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nábytok, </w:t>
      </w:r>
    </w:p>
    <w:p w14:paraId="09054FB2" w14:textId="4F169F16" w:rsidR="00715D53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6C6E">
        <w:rPr>
          <w:rFonts w:ascii="Times New Roman" w:hAnsi="Times New Roman"/>
          <w:sz w:val="24"/>
          <w:szCs w:val="24"/>
        </w:rPr>
        <w:t>v</w:t>
      </w:r>
      <w:r w:rsidR="00705228">
        <w:rPr>
          <w:rFonts w:ascii="Times New Roman" w:hAnsi="Times New Roman"/>
          <w:sz w:val="24"/>
          <w:szCs w:val="24"/>
        </w:rPr>
        <w:t>ýroba</w:t>
      </w:r>
      <w:r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kancelárskeho nábytku</w:t>
      </w:r>
    </w:p>
    <w:p w14:paraId="5C74FA12" w14:textId="612144E2" w:rsidR="004649CB" w:rsidRPr="008A0EF2" w:rsidRDefault="004649CB" w:rsidP="004649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hyperlink r:id="rId12" w:history="1">
        <w:r w:rsidRPr="008A0EF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19D19652" w:rsidR="004649CB" w:rsidRDefault="004649CB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0202539C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B77438">
        <w:rPr>
          <w:rFonts w:ascii="Times New Roman" w:hAnsi="Times New Roman"/>
          <w:b/>
          <w:sz w:val="24"/>
          <w:szCs w:val="24"/>
          <w:u w:color="000000"/>
        </w:rPr>
        <w:t>Kancelárskeho nábytku II</w:t>
      </w:r>
      <w:r w:rsidR="00386AD0">
        <w:rPr>
          <w:rFonts w:ascii="Times New Roman" w:hAnsi="Times New Roman"/>
          <w:b/>
          <w:sz w:val="24"/>
          <w:szCs w:val="24"/>
          <w:u w:color="000000"/>
        </w:rPr>
        <w:t>I</w:t>
      </w:r>
      <w:r w:rsidR="00B77438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3EEBEA31" w14:textId="79FBA4A5" w:rsidR="00A97581" w:rsidRPr="00ED6C6E" w:rsidRDefault="00043EBF" w:rsidP="00ED6C6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9CB" w:rsidRPr="00A97581">
        <w:rPr>
          <w:rFonts w:ascii="Times New Roman" w:hAnsi="Times New Roman"/>
          <w:sz w:val="24"/>
          <w:szCs w:val="24"/>
        </w:rPr>
        <w:t xml:space="preserve">Odkaz na zákazku v rámci DNS: </w:t>
      </w:r>
      <w:hyperlink r:id="rId13" w:history="1">
        <w:r w:rsidR="00ED6C6E" w:rsidRPr="00ED6C6E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https://josephine.proebiz.com/sk/tender/14679/summary</w:t>
        </w:r>
      </w:hyperlink>
    </w:p>
    <w:p w14:paraId="15EB67ED" w14:textId="77777777" w:rsidR="00ED6C6E" w:rsidRPr="00715D53" w:rsidRDefault="00ED6C6E" w:rsidP="00ED6C6E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6EE8FB02" w14:textId="77777777" w:rsidR="003B5408" w:rsidRDefault="003B5408" w:rsidP="003B540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39130000-2 Kancelársky nábytok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0791DC3F" w14:textId="77777777" w:rsidR="00BC6E48" w:rsidRPr="00432464" w:rsidRDefault="00BC6E48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30A26C81" w14:textId="02247DCE" w:rsidR="00715D53" w:rsidRPr="00432464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D580C5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25DE85E1" w14:textId="64C2D085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20C6589B" w14:textId="1962F549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sz w:val="24"/>
          <w:szCs w:val="24"/>
          <w:u w:color="000000"/>
        </w:rPr>
        <w:t>Ćasť</w:t>
      </w:r>
      <w:proofErr w:type="spellEnd"/>
      <w:r>
        <w:rPr>
          <w:rFonts w:ascii="Times New Roman" w:hAnsi="Times New Roman"/>
          <w:b/>
          <w:sz w:val="24"/>
          <w:szCs w:val="24"/>
          <w:u w:color="000000"/>
        </w:rPr>
        <w:t xml:space="preserve"> 1</w:t>
      </w:r>
    </w:p>
    <w:p w14:paraId="3DA59B46" w14:textId="15C7B49E" w:rsidR="00ED6C6E" w:rsidRPr="00BE43F9" w:rsidRDefault="004649CB" w:rsidP="00BE43F9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Dodanie </w:t>
      </w:r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 xml:space="preserve">5 ks Regál na </w:t>
      </w:r>
      <w:proofErr w:type="spellStart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šanóny</w:t>
      </w:r>
      <w:proofErr w:type="spellEnd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proofErr w:type="spellStart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wenge</w:t>
      </w:r>
      <w:proofErr w:type="spellEnd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 xml:space="preserve"> REA OFFICE S50 ( alebo ekvivalent),  1 ks Skrinka </w:t>
      </w:r>
      <w:proofErr w:type="spellStart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wenge</w:t>
      </w:r>
      <w:proofErr w:type="spellEnd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 xml:space="preserve"> REA OFFICE S302 ( alebo ekvivalent), 1 ks Zrkadlo do kúpeľne 60x60 </w:t>
      </w:r>
      <w:proofErr w:type="spellStart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wenge</w:t>
      </w:r>
      <w:proofErr w:type="spellEnd"/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 xml:space="preserve"> REA REST 7</w:t>
      </w:r>
      <w:r w:rsidR="00BE43F9">
        <w:rPr>
          <w:rFonts w:ascii="Times New Roman" w:hAnsi="Times New Roman"/>
          <w:bCs/>
          <w:sz w:val="24"/>
          <w:szCs w:val="24"/>
          <w:u w:color="000000"/>
        </w:rPr>
        <w:t xml:space="preserve">               </w:t>
      </w:r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( alebo ekvivalent)</w:t>
      </w:r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 xml:space="preserve">, </w:t>
      </w:r>
    </w:p>
    <w:p w14:paraId="2D5C070B" w14:textId="77777777" w:rsidR="00BE43F9" w:rsidRDefault="00BE43F9" w:rsidP="00ED6C6E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653B5662" w14:textId="348354E1" w:rsidR="00ED6C6E" w:rsidRDefault="00ED6C6E" w:rsidP="00ED6C6E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sz w:val="24"/>
          <w:szCs w:val="24"/>
          <w:u w:color="000000"/>
        </w:rPr>
        <w:t>Ćasť</w:t>
      </w:r>
      <w:proofErr w:type="spellEnd"/>
      <w:r>
        <w:rPr>
          <w:rFonts w:ascii="Times New Roman" w:hAnsi="Times New Roman"/>
          <w:b/>
          <w:sz w:val="24"/>
          <w:szCs w:val="24"/>
          <w:u w:color="000000"/>
        </w:rPr>
        <w:t xml:space="preserve"> 2</w:t>
      </w:r>
    </w:p>
    <w:p w14:paraId="5F343209" w14:textId="2F794809" w:rsidR="00161286" w:rsidRPr="00BE43F9" w:rsidRDefault="00ED6C6E" w:rsidP="00BE43F9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Dodanie </w:t>
      </w:r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 xml:space="preserve">8 ks jedálenskej stoličky </w:t>
      </w:r>
      <w:proofErr w:type="spellStart"/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>Nico</w:t>
      </w:r>
      <w:proofErr w:type="spellEnd"/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 xml:space="preserve"> /hnedá/( alebo ekvivalent),  1 ks Šatníková skriňa SZYNKA DOVER skriňa 22 višňa ( alebo ekvivalent)</w:t>
      </w: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, 1 ks </w:t>
      </w:r>
      <w:r w:rsidR="00BE43F9" w:rsidRPr="00BE43F9">
        <w:rPr>
          <w:rFonts w:ascii="Times New Roman" w:hAnsi="Times New Roman"/>
          <w:bCs/>
          <w:sz w:val="24"/>
          <w:szCs w:val="24"/>
          <w:u w:color="000000"/>
        </w:rPr>
        <w:t>Pohovka Deana ( alebo ekvivalent)</w:t>
      </w:r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76FFB082" w14:textId="3754E902" w:rsidR="00472C35" w:rsidRPr="00043EBF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lastRenderedPageBreak/>
        <w:t>Ekvivalentný výrobok znamená výrobok s parametrami, materiálo</w:t>
      </w:r>
      <w:r w:rsidR="00BE43F9">
        <w:rPr>
          <w:rFonts w:ascii="Times New Roman" w:hAnsi="Times New Roman"/>
          <w:sz w:val="24"/>
          <w:szCs w:val="24"/>
        </w:rPr>
        <w:t>v</w:t>
      </w:r>
      <w:r w:rsidRPr="00043EBF">
        <w:rPr>
          <w:rFonts w:ascii="Times New Roman" w:hAnsi="Times New Roman"/>
          <w:sz w:val="24"/>
          <w:szCs w:val="24"/>
        </w:rPr>
        <w:t xml:space="preserve">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>uvedeného konkrétneho výrobku. Pri rozmeroch je 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77777777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 dodanie vrátane dopravy a </w:t>
      </w:r>
      <w:proofErr w:type="spellStart"/>
      <w:r>
        <w:rPr>
          <w:rFonts w:ascii="Times New Roman" w:hAnsi="Times New Roman"/>
          <w:sz w:val="24"/>
          <w:szCs w:val="24"/>
        </w:rPr>
        <w:t>vynášky</w:t>
      </w:r>
      <w:proofErr w:type="spellEnd"/>
      <w:r>
        <w:rPr>
          <w:rFonts w:ascii="Times New Roman" w:hAnsi="Times New Roman"/>
          <w:sz w:val="24"/>
          <w:szCs w:val="24"/>
        </w:rPr>
        <w:t xml:space="preserve"> na 1. nadzemné podlažie.</w:t>
      </w:r>
    </w:p>
    <w:p w14:paraId="3EDA1127" w14:textId="1D66E7CB" w:rsidR="007F0969" w:rsidRPr="007F0969" w:rsidRDefault="00161286" w:rsidP="000A6112">
      <w:pPr>
        <w:adjustRightInd w:val="0"/>
        <w:ind w:left="284" w:right="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BE43F9">
        <w:rPr>
          <w:rFonts w:ascii="Times New Roman" w:hAnsi="Times New Roman"/>
          <w:sz w:val="24"/>
          <w:szCs w:val="24"/>
        </w:rPr>
        <w:t xml:space="preserve">pre časť 1 </w:t>
      </w:r>
      <w:r>
        <w:rPr>
          <w:rFonts w:ascii="Times New Roman" w:hAnsi="Times New Roman"/>
          <w:sz w:val="24"/>
          <w:szCs w:val="24"/>
        </w:rPr>
        <w:t xml:space="preserve">do </w:t>
      </w:r>
      <w:r w:rsidR="00BE43F9">
        <w:rPr>
          <w:rFonts w:ascii="Times New Roman" w:hAnsi="Times New Roman"/>
          <w:sz w:val="24"/>
          <w:szCs w:val="24"/>
        </w:rPr>
        <w:t>3 týždňov</w:t>
      </w:r>
      <w:r>
        <w:rPr>
          <w:rFonts w:ascii="Times New Roman" w:hAnsi="Times New Roman"/>
          <w:sz w:val="24"/>
          <w:szCs w:val="24"/>
        </w:rPr>
        <w:t xml:space="preserve"> od doručenia objednávky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BB7084E" w14:textId="4F7BC1D3" w:rsidR="00D67722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pre časť 2 do 6 týždňov </w:t>
      </w:r>
      <w:r>
        <w:rPr>
          <w:rFonts w:ascii="Times New Roman" w:hAnsi="Times New Roman"/>
          <w:sz w:val="24"/>
          <w:szCs w:val="24"/>
        </w:rPr>
        <w:t>od doručenia objednávky</w:t>
      </w:r>
    </w:p>
    <w:p w14:paraId="59C79C29" w14:textId="77777777" w:rsidR="00BE43F9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03E42598" w14:textId="500C0171" w:rsidR="00A309AF" w:rsidRDefault="009D310C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D310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10C">
        <w:rPr>
          <w:rFonts w:ascii="Times New Roman" w:hAnsi="Times New Roman"/>
          <w:b/>
          <w:bCs/>
          <w:sz w:val="24"/>
          <w:szCs w:val="24"/>
        </w:rPr>
        <w:t xml:space="preserve">441,89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3EF1975" w14:textId="16B06E5B" w:rsidR="00A309AF" w:rsidRDefault="00A309AF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864C2A" w14:textId="21D01B3C" w:rsidR="00A309AF" w:rsidRDefault="009D310C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A309AF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309AF">
        <w:rPr>
          <w:rFonts w:ascii="Times New Roman" w:eastAsia="Times New Roman" w:hAnsi="Times New Roman"/>
          <w:sz w:val="24"/>
          <w:szCs w:val="24"/>
          <w:lang w:eastAsia="sk-SK"/>
        </w:rPr>
        <w:t>toho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309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časť 1: </w:t>
      </w:r>
      <w:r w:rsidR="007541AE" w:rsidRPr="007541AE">
        <w:rPr>
          <w:rFonts w:ascii="Times New Roman" w:eastAsia="Times New Roman" w:hAnsi="Times New Roman"/>
          <w:sz w:val="24"/>
          <w:szCs w:val="24"/>
          <w:lang w:eastAsia="sk-SK"/>
        </w:rPr>
        <w:t>571,38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 w:rsidRPr="00276CED">
        <w:rPr>
          <w:rFonts w:ascii="Times New Roman" w:hAnsi="Times New Roman"/>
          <w:sz w:val="24"/>
          <w:szCs w:val="24"/>
        </w:rPr>
        <w:t xml:space="preserve">€ bez DPH </w:t>
      </w:r>
      <w:r w:rsidR="007541AE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527CABB" w14:textId="25A6C3EA" w:rsidR="00E740E3" w:rsidRPr="00276CED" w:rsidRDefault="00E740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9D310C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  časť 2: </w:t>
      </w:r>
      <w:r w:rsidR="009D310C" w:rsidRPr="009D310C">
        <w:rPr>
          <w:rFonts w:ascii="Times New Roman" w:eastAsia="Times New Roman" w:hAnsi="Times New Roman"/>
          <w:sz w:val="24"/>
          <w:szCs w:val="24"/>
          <w:lang w:eastAsia="sk-SK"/>
        </w:rPr>
        <w:t xml:space="preserve">870,51 </w:t>
      </w:r>
      <w:r w:rsidR="007541AE" w:rsidRPr="00276CED">
        <w:rPr>
          <w:rFonts w:ascii="Times New Roman" w:hAnsi="Times New Roman"/>
          <w:sz w:val="24"/>
          <w:szCs w:val="24"/>
        </w:rPr>
        <w:t xml:space="preserve">€ bez DPH </w:t>
      </w:r>
      <w:r w:rsidR="007541AE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5639034A" w:rsidR="00D67722" w:rsidRPr="0026035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260353">
        <w:rPr>
          <w:rFonts w:ascii="Times New Roman" w:hAnsi="Times New Roman"/>
          <w:b/>
          <w:sz w:val="24"/>
          <w:szCs w:val="24"/>
          <w:u w:color="000000"/>
        </w:rPr>
        <w:t xml:space="preserve">áno , </w:t>
      </w:r>
      <w:r w:rsidR="00260353" w:rsidRPr="00260353">
        <w:rPr>
          <w:rFonts w:ascii="Times New Roman" w:hAnsi="Times New Roman"/>
          <w:bCs/>
          <w:sz w:val="24"/>
          <w:szCs w:val="24"/>
          <w:u w:color="000000"/>
        </w:rPr>
        <w:t>zákazka je rozdelená na dve samostatné časti</w:t>
      </w:r>
      <w:r w:rsidR="00A309AF">
        <w:rPr>
          <w:rFonts w:ascii="Times New Roman" w:hAnsi="Times New Roman"/>
          <w:bCs/>
          <w:sz w:val="24"/>
          <w:szCs w:val="24"/>
          <w:u w:color="000000"/>
        </w:rPr>
        <w:t>, ponuky je možné predkladať na každú časť samostatne.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7D7B15D8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1.</w:t>
      </w:r>
    </w:p>
    <w:p w14:paraId="67E098EA" w14:textId="5A7DB351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</w:t>
      </w:r>
      <w:r w:rsidR="00161286">
        <w:rPr>
          <w:rFonts w:ascii="Times New Roman" w:hAnsi="Times New Roman"/>
          <w:sz w:val="24"/>
          <w:szCs w:val="24"/>
        </w:rPr>
        <w:t>do 14 dní od doručenia objednávky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62698C83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A97581">
        <w:rPr>
          <w:rFonts w:ascii="Times New Roman" w:hAnsi="Times New Roman"/>
          <w:sz w:val="24"/>
          <w:szCs w:val="24"/>
        </w:rPr>
        <w:t>nie je potrebná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08A1DA1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  <w:r w:rsidR="00A309AF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7777777" w:rsidR="00A97581" w:rsidRPr="00404044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</w:t>
      </w:r>
      <w:r w:rsidRPr="00A1726A">
        <w:rPr>
          <w:rFonts w:ascii="Times New Roman" w:hAnsi="Times New Roman"/>
          <w:sz w:val="24"/>
          <w:szCs w:val="24"/>
        </w:rPr>
        <w:lastRenderedPageBreak/>
        <w:t xml:space="preserve">elektronickej adrese: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4B27DDF7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A309AF">
        <w:rPr>
          <w:rFonts w:ascii="Times New Roman" w:hAnsi="Times New Roman"/>
          <w:bCs/>
          <w:sz w:val="24"/>
          <w:szCs w:val="24"/>
        </w:rPr>
        <w:t>3</w:t>
      </w:r>
      <w:r w:rsidR="003B5408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A97581">
        <w:rPr>
          <w:rFonts w:ascii="Times New Roman" w:hAnsi="Times New Roman"/>
          <w:bCs/>
          <w:sz w:val="24"/>
          <w:szCs w:val="24"/>
        </w:rPr>
        <w:t>9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6CAA691E" w14:textId="77777777" w:rsidR="00B37B8E" w:rsidRPr="00ED6C6E" w:rsidRDefault="00F12FAF" w:rsidP="00B37B8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37B8E" w:rsidRPr="00ED6C6E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https://josephine.proebiz.com/sk/tender/14679/summary</w:t>
        </w:r>
      </w:hyperlink>
    </w:p>
    <w:p w14:paraId="78C3EC22" w14:textId="77777777" w:rsidR="00B77438" w:rsidRPr="00B77438" w:rsidRDefault="00B77438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16C4BFCB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>
        <w:rPr>
          <w:rFonts w:ascii="Times New Roman" w:hAnsi="Times New Roman"/>
          <w:bCs/>
          <w:sz w:val="24"/>
          <w:szCs w:val="24"/>
        </w:rPr>
        <w:t>, vrátane jednotkových cien,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105A77EC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2B9645" w14:textId="77777777" w:rsidR="005B153C" w:rsidRDefault="005B153C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39F9993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 xml:space="preserve">Cenová ponuka, </w:t>
      </w:r>
      <w:r w:rsidR="00B37B8E">
        <w:rPr>
          <w:rFonts w:ascii="Times New Roman" w:hAnsi="Times New Roman"/>
          <w:bCs/>
          <w:sz w:val="24"/>
          <w:szCs w:val="24"/>
        </w:rPr>
        <w:t>vrátane prílohy 1.1 -</w:t>
      </w:r>
      <w:r w:rsidR="00A97581">
        <w:rPr>
          <w:rFonts w:ascii="Times New Roman" w:hAnsi="Times New Roman"/>
          <w:bCs/>
          <w:sz w:val="24"/>
          <w:szCs w:val="24"/>
        </w:rPr>
        <w:t xml:space="preserve"> jednotkových cien</w:t>
      </w:r>
    </w:p>
    <w:p w14:paraId="3165F3C7" w14:textId="68211C9F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 ekvivalentného výrobku, odkaz na výrobcu, parametre, </w:t>
      </w:r>
    </w:p>
    <w:p w14:paraId="4F946B76" w14:textId="77777777" w:rsidR="00A97581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 výrobok popísaný v zadaní nie je </w:t>
      </w:r>
    </w:p>
    <w:p w14:paraId="78803179" w14:textId="714274D0" w:rsidR="00CA1B8E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potrebné predložiť špecifikáciu.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B1A6" w14:textId="77777777" w:rsidR="00F12FAF" w:rsidRDefault="00F12FAF" w:rsidP="003C1ABA">
      <w:r>
        <w:separator/>
      </w:r>
    </w:p>
  </w:endnote>
  <w:endnote w:type="continuationSeparator" w:id="0">
    <w:p w14:paraId="043A4143" w14:textId="77777777" w:rsidR="00F12FAF" w:rsidRDefault="00F12FAF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5E41" w14:textId="77777777" w:rsidR="00F12FAF" w:rsidRDefault="00F12FAF" w:rsidP="003C1ABA">
      <w:r>
        <w:separator/>
      </w:r>
    </w:p>
  </w:footnote>
  <w:footnote w:type="continuationSeparator" w:id="0">
    <w:p w14:paraId="3019D9A7" w14:textId="77777777" w:rsidR="00F12FAF" w:rsidRDefault="00F12FAF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EBF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97F8B"/>
    <w:rsid w:val="001A4591"/>
    <w:rsid w:val="001C25A3"/>
    <w:rsid w:val="001C4805"/>
    <w:rsid w:val="001C7E3C"/>
    <w:rsid w:val="001D6137"/>
    <w:rsid w:val="001D6CB3"/>
    <w:rsid w:val="001F3843"/>
    <w:rsid w:val="001F78EA"/>
    <w:rsid w:val="002001B3"/>
    <w:rsid w:val="00200254"/>
    <w:rsid w:val="00212E8A"/>
    <w:rsid w:val="002164E6"/>
    <w:rsid w:val="00225279"/>
    <w:rsid w:val="002261EF"/>
    <w:rsid w:val="00260353"/>
    <w:rsid w:val="0027562F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86AD0"/>
    <w:rsid w:val="003937D4"/>
    <w:rsid w:val="003941F4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211B"/>
    <w:rsid w:val="00554509"/>
    <w:rsid w:val="0055564D"/>
    <w:rsid w:val="00571E82"/>
    <w:rsid w:val="005726C0"/>
    <w:rsid w:val="005862A3"/>
    <w:rsid w:val="005954E5"/>
    <w:rsid w:val="005962ED"/>
    <w:rsid w:val="005A4740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1AE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4B49"/>
    <w:rsid w:val="008276B4"/>
    <w:rsid w:val="0083183C"/>
    <w:rsid w:val="00840586"/>
    <w:rsid w:val="008437FF"/>
    <w:rsid w:val="00845789"/>
    <w:rsid w:val="00863156"/>
    <w:rsid w:val="008806BC"/>
    <w:rsid w:val="008908E7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310C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01A5"/>
    <w:rsid w:val="00A309AF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37B8E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E43F9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5668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82BF9"/>
    <w:rsid w:val="00E925BC"/>
    <w:rsid w:val="00EA3806"/>
    <w:rsid w:val="00EB45FB"/>
    <w:rsid w:val="00EC593D"/>
    <w:rsid w:val="00ED6C6E"/>
    <w:rsid w:val="00EE3C5E"/>
    <w:rsid w:val="00EF0384"/>
    <w:rsid w:val="00EF3721"/>
    <w:rsid w:val="00EF722C"/>
    <w:rsid w:val="00EF733B"/>
    <w:rsid w:val="00F0274C"/>
    <w:rsid w:val="00F12FAF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4679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3445/summ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4679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4</cp:revision>
  <cp:lastPrinted>2021-09-24T08:18:00Z</cp:lastPrinted>
  <dcterms:created xsi:type="dcterms:W3CDTF">2021-09-24T06:51:00Z</dcterms:created>
  <dcterms:modified xsi:type="dcterms:W3CDTF">2021-09-24T08:18:00Z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