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675E3C7A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B05A62">
        <w:rPr>
          <w:rFonts w:ascii="Arial Narrow" w:hAnsi="Arial Narrow"/>
          <w:b/>
          <w:bCs/>
          <w:sz w:val="21"/>
          <w:szCs w:val="21"/>
        </w:rPr>
        <w:t>6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</w:t>
      </w:r>
      <w:r w:rsidR="00B060E4" w:rsidRPr="002226CC">
        <w:rPr>
          <w:rFonts w:ascii="Arial Narrow" w:hAnsi="Arial Narrow"/>
          <w:b/>
          <w:bCs/>
          <w:sz w:val="21"/>
          <w:szCs w:val="21"/>
        </w:rPr>
        <w:t>„</w:t>
      </w:r>
      <w:r w:rsidR="00B05A62">
        <w:rPr>
          <w:rFonts w:ascii="Arial Narrow" w:hAnsi="Arial Narrow"/>
          <w:b/>
          <w:bCs/>
          <w:sz w:val="21"/>
          <w:szCs w:val="21"/>
        </w:rPr>
        <w:t>Ochranné obleky s kapucňou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59947BD5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B05A62">
        <w:rPr>
          <w:rFonts w:ascii="Arial Narrow" w:hAnsi="Arial Narrow"/>
          <w:b/>
          <w:bCs/>
          <w:sz w:val="21"/>
          <w:szCs w:val="21"/>
        </w:rPr>
        <w:t>6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r w:rsidR="00B05A62">
        <w:rPr>
          <w:rFonts w:ascii="Arial Narrow" w:hAnsi="Arial Narrow"/>
          <w:b/>
          <w:bCs/>
          <w:sz w:val="21"/>
          <w:szCs w:val="21"/>
        </w:rPr>
        <w:t>Ochranné obleky s kapucňou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5471E1AE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r w:rsidR="00B05A62">
        <w:rPr>
          <w:rFonts w:ascii="Arial Narrow" w:hAnsi="Arial Narrow"/>
          <w:b/>
          <w:bCs/>
          <w:sz w:val="21"/>
          <w:szCs w:val="21"/>
        </w:rPr>
        <w:t>ochranné obleky s kapucňou</w:t>
      </w:r>
      <w:r w:rsidR="006011E6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0D5E7ED9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do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B05A62">
        <w:rPr>
          <w:rFonts w:ascii="Arial Narrow" w:hAnsi="Arial Narrow"/>
          <w:b/>
          <w:bCs/>
          <w:sz w:val="21"/>
          <w:szCs w:val="21"/>
        </w:rPr>
        <w:t>7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pracovných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29401B67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346587" w:rsidRPr="007062F5">
        <w:rPr>
          <w:rFonts w:ascii="Arial Narrow" w:hAnsi="Arial Narrow"/>
          <w:sz w:val="21"/>
          <w:szCs w:val="21"/>
        </w:rPr>
        <w:t>, EU vyhlásenie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o</w:t>
      </w:r>
      <w:r w:rsidR="00B060E4">
        <w:rPr>
          <w:rFonts w:ascii="Arial Narrow" w:hAnsi="Arial Narrow"/>
          <w:sz w:val="21"/>
          <w:szCs w:val="21"/>
        </w:rPr>
        <w:t> </w:t>
      </w:r>
      <w:r w:rsidR="00346587" w:rsidRPr="007062F5">
        <w:rPr>
          <w:rFonts w:ascii="Arial Narrow" w:hAnsi="Arial Narrow"/>
          <w:sz w:val="21"/>
          <w:szCs w:val="21"/>
        </w:rPr>
        <w:t>zhode</w:t>
      </w:r>
      <w:r w:rsidR="00B060E4">
        <w:rPr>
          <w:rFonts w:ascii="Arial Narrow" w:hAnsi="Arial Narrow"/>
          <w:sz w:val="21"/>
          <w:szCs w:val="21"/>
        </w:rPr>
        <w:t xml:space="preserve"> ponúkaného tovaru</w:t>
      </w:r>
      <w:r w:rsidR="005670CE">
        <w:rPr>
          <w:rFonts w:ascii="Arial Narrow" w:hAnsi="Arial Narrow"/>
          <w:sz w:val="21"/>
          <w:szCs w:val="21"/>
        </w:rPr>
        <w:t xml:space="preserve"> a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 DPH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3606D0A8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B05A62">
        <w:rPr>
          <w:rFonts w:ascii="Arial Narrow" w:hAnsi="Arial Narrow" w:cs="Times New Roman"/>
          <w:b/>
          <w:bCs/>
          <w:sz w:val="21"/>
          <w:szCs w:val="21"/>
        </w:rPr>
        <w:t>Ochrann</w:t>
      </w:r>
      <w:r w:rsidR="003B5C6D">
        <w:rPr>
          <w:rFonts w:ascii="Arial Narrow" w:hAnsi="Arial Narrow" w:cs="Times New Roman"/>
          <w:b/>
          <w:bCs/>
          <w:sz w:val="21"/>
          <w:szCs w:val="21"/>
        </w:rPr>
        <w:t>é obleky</w:t>
      </w:r>
      <w:r w:rsidR="00B05A62">
        <w:rPr>
          <w:rFonts w:ascii="Arial Narrow" w:hAnsi="Arial Narrow" w:cs="Times New Roman"/>
          <w:b/>
          <w:bCs/>
          <w:sz w:val="21"/>
          <w:szCs w:val="21"/>
        </w:rPr>
        <w:t xml:space="preserve"> s kapucňou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3B5C6D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1BEFD6C3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4814E1">
      <w:rPr>
        <w:rFonts w:ascii="Arial Narrow" w:hAnsi="Arial Narrow"/>
        <w:b/>
        <w:bCs/>
        <w:sz w:val="21"/>
        <w:szCs w:val="21"/>
      </w:rPr>
      <w:t>6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r w:rsidR="004814E1">
      <w:rPr>
        <w:rFonts w:ascii="Arial Narrow" w:hAnsi="Arial Narrow"/>
        <w:b/>
        <w:bCs/>
        <w:sz w:val="21"/>
        <w:szCs w:val="21"/>
      </w:rPr>
      <w:t>Ochranné obleky s kapucňou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6CC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5C6D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14E1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670CE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5A62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2021-11-08T18:29:00Z</dcterms:created>
  <dcterms:modified xsi:type="dcterms:W3CDTF">2021-11-08T18:29:00Z</dcterms:modified>
</cp:coreProperties>
</file>