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67CFC3BF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8B1D71">
        <w:rPr>
          <w:rFonts w:ascii="Arial Narrow" w:hAnsi="Arial Narrow"/>
          <w:b/>
          <w:bCs/>
          <w:sz w:val="21"/>
          <w:szCs w:val="21"/>
        </w:rPr>
        <w:t>8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</w:t>
      </w:r>
      <w:r w:rsidR="00B060E4" w:rsidRPr="002226CC">
        <w:rPr>
          <w:rFonts w:ascii="Arial Narrow" w:hAnsi="Arial Narrow"/>
          <w:b/>
          <w:bCs/>
          <w:sz w:val="21"/>
          <w:szCs w:val="21"/>
        </w:rPr>
        <w:t>„</w:t>
      </w:r>
      <w:r w:rsidR="002226CC" w:rsidRPr="002226CC">
        <w:rPr>
          <w:rFonts w:ascii="Arial Narrow" w:hAnsi="Arial Narrow"/>
          <w:b/>
          <w:bCs/>
          <w:sz w:val="21"/>
          <w:szCs w:val="21"/>
        </w:rPr>
        <w:t>Respirátor FFP</w:t>
      </w:r>
      <w:r w:rsidR="008B1D71">
        <w:rPr>
          <w:rFonts w:ascii="Arial Narrow" w:hAnsi="Arial Narrow"/>
          <w:b/>
          <w:bCs/>
          <w:sz w:val="21"/>
          <w:szCs w:val="21"/>
        </w:rPr>
        <w:t>3</w:t>
      </w:r>
      <w:r w:rsidR="002226CC" w:rsidRPr="002226CC">
        <w:rPr>
          <w:rFonts w:ascii="Arial Narrow" w:hAnsi="Arial Narrow"/>
          <w:b/>
          <w:bCs/>
          <w:sz w:val="21"/>
          <w:szCs w:val="21"/>
        </w:rPr>
        <w:t xml:space="preserve"> bez výdychového ventilu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1C90931D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8B1D71">
        <w:rPr>
          <w:rFonts w:ascii="Arial Narrow" w:hAnsi="Arial Narrow"/>
          <w:b/>
          <w:bCs/>
          <w:sz w:val="21"/>
          <w:szCs w:val="21"/>
        </w:rPr>
        <w:t>8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r w:rsidR="002226CC">
        <w:rPr>
          <w:rFonts w:ascii="Arial Narrow" w:hAnsi="Arial Narrow"/>
          <w:b/>
          <w:bCs/>
          <w:sz w:val="21"/>
          <w:szCs w:val="21"/>
        </w:rPr>
        <w:t>Respirátor FFP</w:t>
      </w:r>
      <w:r w:rsidR="008B1D71">
        <w:rPr>
          <w:rFonts w:ascii="Arial Narrow" w:hAnsi="Arial Narrow"/>
          <w:b/>
          <w:bCs/>
          <w:sz w:val="21"/>
          <w:szCs w:val="21"/>
        </w:rPr>
        <w:t>3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bez výdychového ventilu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521EE896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r w:rsidR="002226CC" w:rsidRPr="002226CC">
        <w:rPr>
          <w:rFonts w:ascii="Arial Narrow" w:hAnsi="Arial Narrow"/>
          <w:b/>
          <w:bCs/>
          <w:sz w:val="21"/>
          <w:szCs w:val="21"/>
        </w:rPr>
        <w:t>respirátory FFP</w:t>
      </w:r>
      <w:r w:rsidR="008B1D71">
        <w:rPr>
          <w:rFonts w:ascii="Arial Narrow" w:hAnsi="Arial Narrow"/>
          <w:b/>
          <w:bCs/>
          <w:sz w:val="21"/>
          <w:szCs w:val="21"/>
        </w:rPr>
        <w:t>3</w:t>
      </w:r>
      <w:r w:rsidR="002226CC" w:rsidRPr="002226CC">
        <w:rPr>
          <w:rFonts w:ascii="Arial Narrow" w:hAnsi="Arial Narrow"/>
          <w:b/>
          <w:bCs/>
          <w:sz w:val="21"/>
          <w:szCs w:val="21"/>
        </w:rPr>
        <w:t xml:space="preserve"> bez výdychového ventilu</w:t>
      </w:r>
      <w:r w:rsidR="006011E6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</w:t>
      </w:r>
      <w:r w:rsidR="009C5E19" w:rsidRPr="007062F5">
        <w:rPr>
          <w:rFonts w:ascii="Arial Narrow" w:hAnsi="Arial Narrow"/>
          <w:sz w:val="21"/>
          <w:szCs w:val="21"/>
        </w:rPr>
        <w:lastRenderedPageBreak/>
        <w:t>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0A17BA45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do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2226CC">
        <w:rPr>
          <w:rFonts w:ascii="Arial Narrow" w:hAnsi="Arial Narrow"/>
          <w:b/>
          <w:bCs/>
          <w:sz w:val="21"/>
          <w:szCs w:val="21"/>
        </w:rPr>
        <w:t>5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pracovných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0F0C5647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2226CC">
        <w:rPr>
          <w:rFonts w:ascii="Arial Narrow" w:eastAsia="TimesNewRomanPSMT" w:hAnsi="Arial Narrow"/>
          <w:color w:val="000000"/>
          <w:sz w:val="21"/>
          <w:szCs w:val="21"/>
        </w:rPr>
        <w:t xml:space="preserve"> </w:t>
      </w:r>
      <w:r w:rsidR="005670CE">
        <w:rPr>
          <w:rFonts w:ascii="Arial Narrow" w:eastAsia="TimesNewRomanPSMT" w:hAnsi="Arial Narrow"/>
          <w:color w:val="000000"/>
          <w:sz w:val="21"/>
          <w:szCs w:val="21"/>
        </w:rPr>
        <w:t>obsahujúci aj fotografie viditeľne zobrazujúce ponúkaný tovar vrátane zobrazenia ramienok a spôsobu ich uchytenia</w:t>
      </w:r>
      <w:r w:rsidR="00346587" w:rsidRPr="007062F5">
        <w:rPr>
          <w:rFonts w:ascii="Arial Narrow" w:hAnsi="Arial Narrow"/>
          <w:sz w:val="21"/>
          <w:szCs w:val="21"/>
        </w:rPr>
        <w:t>, EU vyhlásenie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o</w:t>
      </w:r>
      <w:r w:rsidR="00B060E4">
        <w:rPr>
          <w:rFonts w:ascii="Arial Narrow" w:hAnsi="Arial Narrow"/>
          <w:sz w:val="21"/>
          <w:szCs w:val="21"/>
        </w:rPr>
        <w:t> </w:t>
      </w:r>
      <w:r w:rsidR="00346587" w:rsidRPr="007062F5">
        <w:rPr>
          <w:rFonts w:ascii="Arial Narrow" w:hAnsi="Arial Narrow"/>
          <w:sz w:val="21"/>
          <w:szCs w:val="21"/>
        </w:rPr>
        <w:t>zhode</w:t>
      </w:r>
      <w:r w:rsidR="00B060E4">
        <w:rPr>
          <w:rFonts w:ascii="Arial Narrow" w:hAnsi="Arial Narrow"/>
          <w:sz w:val="21"/>
          <w:szCs w:val="21"/>
        </w:rPr>
        <w:t xml:space="preserve"> ponúkaného tovaru</w:t>
      </w:r>
      <w:r w:rsidR="00346587" w:rsidRPr="007062F5">
        <w:rPr>
          <w:rFonts w:ascii="Arial Narrow" w:hAnsi="Arial Narrow"/>
          <w:sz w:val="21"/>
          <w:szCs w:val="21"/>
        </w:rPr>
        <w:t>,</w:t>
      </w:r>
      <w:r w:rsidR="00FC1879">
        <w:rPr>
          <w:rFonts w:ascii="Arial Narrow" w:hAnsi="Arial Narrow"/>
          <w:sz w:val="21"/>
          <w:szCs w:val="21"/>
        </w:rPr>
        <w:t xml:space="preserve"> </w:t>
      </w:r>
      <w:r w:rsidR="002226CC">
        <w:rPr>
          <w:rFonts w:ascii="Arial Narrow" w:hAnsi="Arial Narrow"/>
          <w:sz w:val="21"/>
          <w:szCs w:val="21"/>
        </w:rPr>
        <w:t>Certifikát EU skúšky typu ponúkaného tovaru</w:t>
      </w:r>
      <w:r w:rsidR="005670CE">
        <w:rPr>
          <w:rFonts w:ascii="Arial Narrow" w:hAnsi="Arial Narrow"/>
          <w:sz w:val="21"/>
          <w:szCs w:val="21"/>
        </w:rPr>
        <w:t xml:space="preserve"> a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5954134F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</w:t>
      </w:r>
      <w:r w:rsidR="00D8597E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DPH</w:t>
      </w:r>
      <w:r w:rsidR="00D8597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podkladoch. Kupujúci je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lastRenderedPageBreak/>
        <w:t>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17A5C98E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5670CE">
        <w:rPr>
          <w:rFonts w:ascii="Arial Narrow" w:hAnsi="Arial Narrow" w:cs="Times New Roman"/>
          <w:b/>
          <w:bCs/>
          <w:sz w:val="21"/>
          <w:szCs w:val="21"/>
        </w:rPr>
        <w:t>Respirátor FFP</w:t>
      </w:r>
      <w:r w:rsidR="008B1D71">
        <w:rPr>
          <w:rFonts w:ascii="Arial Narrow" w:hAnsi="Arial Narrow" w:cs="Times New Roman"/>
          <w:b/>
          <w:bCs/>
          <w:sz w:val="21"/>
          <w:szCs w:val="21"/>
        </w:rPr>
        <w:t>3</w:t>
      </w:r>
      <w:r w:rsidR="005670CE">
        <w:rPr>
          <w:rFonts w:ascii="Arial Narrow" w:hAnsi="Arial Narrow" w:cs="Times New Roman"/>
          <w:b/>
          <w:bCs/>
          <w:sz w:val="21"/>
          <w:szCs w:val="21"/>
        </w:rPr>
        <w:t xml:space="preserve"> bez výdychového ventilu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A37069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2083A8B0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8B1D71">
      <w:rPr>
        <w:rFonts w:ascii="Arial Narrow" w:hAnsi="Arial Narrow"/>
        <w:b/>
        <w:bCs/>
        <w:sz w:val="21"/>
        <w:szCs w:val="21"/>
      </w:rPr>
      <w:t>8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r w:rsidR="002226CC">
      <w:rPr>
        <w:rFonts w:ascii="Arial Narrow" w:hAnsi="Arial Narrow"/>
        <w:b/>
        <w:bCs/>
        <w:sz w:val="21"/>
        <w:szCs w:val="21"/>
      </w:rPr>
      <w:t>Respirátor FFP</w:t>
    </w:r>
    <w:r w:rsidR="008B1D71">
      <w:rPr>
        <w:rFonts w:ascii="Arial Narrow" w:hAnsi="Arial Narrow"/>
        <w:b/>
        <w:bCs/>
        <w:sz w:val="21"/>
        <w:szCs w:val="21"/>
      </w:rPr>
      <w:t>3</w:t>
    </w:r>
    <w:r w:rsidR="002226CC">
      <w:rPr>
        <w:rFonts w:ascii="Arial Narrow" w:hAnsi="Arial Narrow"/>
        <w:b/>
        <w:bCs/>
        <w:sz w:val="21"/>
        <w:szCs w:val="21"/>
      </w:rPr>
      <w:t xml:space="preserve"> bez výdychového ventilu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6CC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670CE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1D71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37069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8597E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2021-11-15T19:28:00Z</dcterms:created>
  <dcterms:modified xsi:type="dcterms:W3CDTF">2021-11-15T19:28:00Z</dcterms:modified>
</cp:coreProperties>
</file>