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4148B1" w:rsidRPr="004148B1" w:rsidRDefault="0035795F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Pr="0035795F">
        <w:rPr>
          <w:rFonts w:ascii="Arial" w:hAnsi="Arial" w:cs="Arial"/>
          <w:sz w:val="20"/>
          <w:szCs w:val="20"/>
        </w:rPr>
        <w:t>zhotovení venkovní lezecké stěny vč. dopadové plochy dle PD zpracované firmou  ZNOJMOPROJEKT Ing. arch. Radomír KAMAN, s.r.o., Znojmo.</w:t>
      </w:r>
      <w:r w:rsidR="004148B1" w:rsidRPr="004148B1">
        <w:rPr>
          <w:rFonts w:ascii="Arial" w:hAnsi="Arial" w:cs="Arial"/>
          <w:sz w:val="20"/>
          <w:szCs w:val="20"/>
        </w:rPr>
        <w:t xml:space="preserve"> </w:t>
      </w:r>
    </w:p>
    <w:p w:rsidR="004148B1" w:rsidRDefault="0035795F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Lezecká stěna</w:t>
      </w:r>
      <w:r w:rsidR="004148B1" w:rsidRPr="004148B1">
        <w:rPr>
          <w:rFonts w:ascii="Arial" w:hAnsi="Arial" w:cs="Arial"/>
          <w:sz w:val="20"/>
          <w:szCs w:val="20"/>
        </w:rPr>
        <w:t xml:space="preserve"> musí být opatřen</w:t>
      </w:r>
      <w:r w:rsidR="005F3E09">
        <w:rPr>
          <w:rFonts w:ascii="Arial" w:hAnsi="Arial" w:cs="Arial"/>
          <w:sz w:val="20"/>
          <w:szCs w:val="20"/>
        </w:rPr>
        <w:t>a</w:t>
      </w:r>
      <w:r w:rsidR="004148B1" w:rsidRPr="004148B1">
        <w:rPr>
          <w:rFonts w:ascii="Arial" w:hAnsi="Arial" w:cs="Arial"/>
          <w:sz w:val="20"/>
          <w:szCs w:val="20"/>
        </w:rPr>
        <w:t xml:space="preserve"> potřebnou certifikací a musí splňovat veškeré dotčené předpisy a normy odpovídající účelu využití a umístění.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35795F" w:rsidRPr="0035795F">
        <w:rPr>
          <w:rFonts w:ascii="Arial" w:hAnsi="Arial" w:cs="Arial"/>
          <w:b/>
          <w:sz w:val="20"/>
          <w:szCs w:val="20"/>
        </w:rPr>
        <w:t xml:space="preserve">Novostavba venkovní lezecké stěny – Znojmo </w:t>
      </w:r>
      <w:r w:rsidR="004F24AD">
        <w:rPr>
          <w:rFonts w:ascii="Arial" w:hAnsi="Arial" w:cs="Arial"/>
          <w:b/>
          <w:sz w:val="20"/>
          <w:szCs w:val="20"/>
        </w:rPr>
        <w:t>–</w:t>
      </w:r>
      <w:r w:rsidR="0035795F" w:rsidRPr="0035795F">
        <w:rPr>
          <w:rFonts w:ascii="Arial" w:hAnsi="Arial" w:cs="Arial"/>
          <w:b/>
          <w:sz w:val="20"/>
          <w:szCs w:val="20"/>
        </w:rPr>
        <w:t xml:space="preserve"> Leska</w:t>
      </w:r>
      <w:r w:rsidR="004F24AD">
        <w:rPr>
          <w:rFonts w:ascii="Arial" w:hAnsi="Arial" w:cs="Arial"/>
          <w:b/>
          <w:sz w:val="20"/>
          <w:szCs w:val="20"/>
        </w:rPr>
        <w:t xml:space="preserve"> - opakované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35795F" w:rsidRPr="0035795F">
        <w:rPr>
          <w:rFonts w:ascii="Arial" w:hAnsi="Arial" w:cs="Arial"/>
          <w:b/>
          <w:sz w:val="20"/>
          <w:szCs w:val="20"/>
        </w:rPr>
        <w:t>Novostavba venkovní lezecké stěny – Znojmo - Leska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35795F" w:rsidRDefault="0035795F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5795F">
        <w:rPr>
          <w:rFonts w:ascii="Arial" w:hAnsi="Arial" w:cs="Arial"/>
          <w:sz w:val="20"/>
          <w:szCs w:val="20"/>
        </w:rPr>
        <w:t xml:space="preserve">řed zahájením prací předloží </w:t>
      </w:r>
      <w:r>
        <w:rPr>
          <w:rFonts w:ascii="Arial" w:hAnsi="Arial" w:cs="Arial"/>
          <w:sz w:val="20"/>
          <w:szCs w:val="20"/>
        </w:rPr>
        <w:t>zhotovitel</w:t>
      </w:r>
      <w:r w:rsidRPr="0035795F">
        <w:rPr>
          <w:rFonts w:ascii="Arial" w:hAnsi="Arial" w:cs="Arial"/>
          <w:sz w:val="20"/>
          <w:szCs w:val="20"/>
        </w:rPr>
        <w:t xml:space="preserve"> k odsouhlasení prováděcí dokumentaci, jejíž součástí bude statický posudek založení a konstrukce lezecké stěny zpracovaný autorizovaným inženýrem, držitelem autorizace IS00 – statika a dynamika staveb</w:t>
      </w:r>
      <w:r>
        <w:rPr>
          <w:rFonts w:ascii="Arial" w:hAnsi="Arial" w:cs="Arial"/>
          <w:sz w:val="20"/>
          <w:szCs w:val="20"/>
        </w:rPr>
        <w:t>,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B120AD" w:rsidRPr="00B120AD" w:rsidRDefault="00B120AD" w:rsidP="000B3098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B120AD">
        <w:rPr>
          <w:rFonts w:ascii="Arial" w:hAnsi="Arial" w:cs="Arial"/>
          <w:sz w:val="20"/>
          <w:szCs w:val="20"/>
        </w:rPr>
        <w:t xml:space="preserve">Termín ukončení a předání díla: </w:t>
      </w:r>
      <w:r w:rsidRPr="00B120AD">
        <w:rPr>
          <w:rFonts w:ascii="Arial" w:hAnsi="Arial" w:cs="Arial"/>
          <w:b/>
          <w:sz w:val="20"/>
          <w:szCs w:val="20"/>
        </w:rPr>
        <w:t xml:space="preserve">do </w:t>
      </w:r>
      <w:r w:rsidR="0035795F">
        <w:rPr>
          <w:rFonts w:ascii="Arial" w:hAnsi="Arial" w:cs="Arial"/>
          <w:b/>
          <w:sz w:val="20"/>
          <w:szCs w:val="20"/>
        </w:rPr>
        <w:t>1</w:t>
      </w:r>
      <w:r w:rsidR="00DB7377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B120AD">
        <w:rPr>
          <w:rFonts w:ascii="Arial" w:hAnsi="Arial" w:cs="Arial"/>
          <w:b/>
          <w:sz w:val="20"/>
          <w:szCs w:val="20"/>
        </w:rPr>
        <w:t xml:space="preserve">0 </w:t>
      </w:r>
      <w:r>
        <w:rPr>
          <w:rFonts w:ascii="Arial" w:hAnsi="Arial" w:cs="Arial"/>
          <w:b/>
          <w:sz w:val="20"/>
          <w:szCs w:val="20"/>
        </w:rPr>
        <w:t xml:space="preserve">po sobě jdoucích </w:t>
      </w:r>
      <w:r w:rsidRPr="00B120AD">
        <w:rPr>
          <w:rFonts w:ascii="Arial" w:hAnsi="Arial" w:cs="Arial"/>
          <w:b/>
          <w:sz w:val="20"/>
          <w:szCs w:val="20"/>
        </w:rPr>
        <w:t>kalendářních dnů</w:t>
      </w:r>
      <w:r w:rsidRPr="00B120AD">
        <w:rPr>
          <w:rFonts w:ascii="Arial" w:hAnsi="Arial" w:cs="Arial"/>
          <w:sz w:val="20"/>
          <w:szCs w:val="20"/>
        </w:rPr>
        <w:t>,</w:t>
      </w:r>
    </w:p>
    <w:p w:rsidR="00BA2EC7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E41C47" w:rsidRPr="004548B1" w:rsidRDefault="00E41C4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41C47">
        <w:rPr>
          <w:rFonts w:ascii="Arial" w:hAnsi="Arial" w:cs="Arial"/>
          <w:sz w:val="20"/>
          <w:szCs w:val="20"/>
        </w:rPr>
        <w:t xml:space="preserve"> důvodu zvláště nepříznivých klimatických podmínek, které prokazatelně brání řádné realizaci díla (či jeho části dotčené zvláště nepříznivými klimatickými podmínkami) tak, že dle relevantních ČSN, případně jiných norem a obecně závazných předpisů účinných v době realizace díla, nelze realizovat dílo či jeho část řádně, a to ani při vynaložení veškeré odborné péče Zhotovitelem, </w:t>
      </w:r>
      <w:r w:rsidRPr="00E41C47">
        <w:rPr>
          <w:rFonts w:ascii="Arial" w:hAnsi="Arial" w:cs="Arial"/>
          <w:sz w:val="20"/>
          <w:szCs w:val="20"/>
        </w:rPr>
        <w:lastRenderedPageBreak/>
        <w:t>délka příslušné sjednané lhůty se prodlužuje, a to vždy nejdéle o dobu trvání zvláště nepříznivých klimatických podmínek, není-li sjednáno jinak.</w:t>
      </w:r>
    </w:p>
    <w:p w:rsidR="00D46176" w:rsidRPr="0036666D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666D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36666D">
        <w:rPr>
          <w:rFonts w:ascii="Arial" w:hAnsi="Arial" w:cs="Arial"/>
          <w:snapToGrid w:val="0"/>
          <w:sz w:val="20"/>
          <w:szCs w:val="20"/>
        </w:rPr>
        <w:t>em</w:t>
      </w:r>
      <w:r w:rsidRPr="0036666D">
        <w:rPr>
          <w:rFonts w:ascii="Arial" w:hAnsi="Arial" w:cs="Arial"/>
          <w:snapToGrid w:val="0"/>
          <w:sz w:val="20"/>
          <w:szCs w:val="20"/>
        </w:rPr>
        <w:t xml:space="preserve"> plnění díla 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>j</w:t>
      </w:r>
      <w:r w:rsidR="0035795F">
        <w:rPr>
          <w:rFonts w:ascii="Arial" w:hAnsi="Arial" w:cs="Arial"/>
          <w:snapToGrid w:val="0"/>
          <w:sz w:val="20"/>
          <w:szCs w:val="20"/>
        </w:rPr>
        <w:t>e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35795F" w:rsidRPr="0035795F">
        <w:rPr>
          <w:rFonts w:ascii="Arial" w:hAnsi="Arial" w:cs="Arial"/>
          <w:snapToGrid w:val="0"/>
          <w:sz w:val="20"/>
          <w:szCs w:val="20"/>
        </w:rPr>
        <w:t>areál tenisových kurtů, Horní Leska, Znojmo</w:t>
      </w:r>
      <w:r w:rsidR="00630384">
        <w:rPr>
          <w:rFonts w:ascii="Arial" w:hAnsi="Arial" w:cs="Arial"/>
          <w:snapToGrid w:val="0"/>
          <w:sz w:val="20"/>
          <w:szCs w:val="20"/>
        </w:rPr>
        <w:t>.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630384" w:rsidRPr="00630384">
        <w:rPr>
          <w:rFonts w:ascii="Arial" w:hAnsi="Arial" w:cs="Arial"/>
          <w:snapToGrid w:val="0"/>
          <w:sz w:val="20"/>
          <w:szCs w:val="20"/>
        </w:rPr>
        <w:t>Místo plnění je blíže 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0B309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0B3098">
        <w:rPr>
          <w:rFonts w:ascii="Arial" w:hAnsi="Arial" w:cs="Arial"/>
          <w:sz w:val="20"/>
          <w:szCs w:val="20"/>
        </w:rPr>
        <w:t>pdf</w:t>
      </w:r>
      <w:proofErr w:type="spellEnd"/>
      <w:r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lastRenderedPageBreak/>
        <w:t>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lastRenderedPageBreak/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 xml:space="preserve">, majetku objednatele i třetích osob a aby zabránil vzniku újmy na zdraví </w:t>
      </w:r>
      <w:r w:rsidRPr="004548B1">
        <w:rPr>
          <w:rFonts w:ascii="Arial" w:hAnsi="Arial" w:cs="Arial"/>
          <w:sz w:val="20"/>
          <w:szCs w:val="20"/>
        </w:rPr>
        <w:lastRenderedPageBreak/>
        <w:t>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21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</w:t>
      </w:r>
      <w:r w:rsidR="004A1E02">
        <w:rPr>
          <w:rFonts w:ascii="Arial" w:hAnsi="Arial" w:cs="Arial"/>
          <w:sz w:val="20"/>
          <w:szCs w:val="20"/>
        </w:rPr>
        <w:t xml:space="preserve"> R</w:t>
      </w:r>
      <w:r w:rsidR="008378A6" w:rsidRPr="004548B1">
        <w:rPr>
          <w:rFonts w:ascii="Arial" w:hAnsi="Arial" w:cs="Arial"/>
          <w:sz w:val="20"/>
          <w:szCs w:val="20"/>
        </w:rPr>
        <w:t>ozpočet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>Ing. Jakub Malačka</w:t>
      </w:r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3D" w:rsidRDefault="00CD2F3D">
      <w:r>
        <w:separator/>
      </w:r>
    </w:p>
  </w:endnote>
  <w:endnote w:type="continuationSeparator" w:id="0">
    <w:p w:rsidR="00CD2F3D" w:rsidRDefault="00CD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DB7377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DB7377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3D" w:rsidRDefault="00CD2F3D">
      <w:r>
        <w:separator/>
      </w:r>
    </w:p>
  </w:footnote>
  <w:footnote w:type="continuationSeparator" w:id="0">
    <w:p w:rsidR="00CD2F3D" w:rsidRDefault="00CD2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95F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1E02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4AD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7D6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2F3D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B7377"/>
    <w:rsid w:val="00DC0165"/>
    <w:rsid w:val="00DC07D0"/>
    <w:rsid w:val="00DD09E4"/>
    <w:rsid w:val="00DE038F"/>
    <w:rsid w:val="00DF4BA1"/>
    <w:rsid w:val="00E06268"/>
    <w:rsid w:val="00E13F54"/>
    <w:rsid w:val="00E21E8E"/>
    <w:rsid w:val="00E22AAB"/>
    <w:rsid w:val="00E30B10"/>
    <w:rsid w:val="00E31B29"/>
    <w:rsid w:val="00E32652"/>
    <w:rsid w:val="00E36845"/>
    <w:rsid w:val="00E41C47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2ECD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033E-3874-45C9-B5C0-2E174039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10</Pages>
  <Words>5070</Words>
  <Characters>29918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72</cp:revision>
  <cp:lastPrinted>2021-03-31T13:46:00Z</cp:lastPrinted>
  <dcterms:created xsi:type="dcterms:W3CDTF">2016-04-12T12:06:00Z</dcterms:created>
  <dcterms:modified xsi:type="dcterms:W3CDTF">2021-11-02T12:50:00Z</dcterms:modified>
</cp:coreProperties>
</file>