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0FB2F52B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05-</w:t>
      </w:r>
      <w:r w:rsidR="003F69CF" w:rsidRPr="003F69CF">
        <w:rPr>
          <w:rFonts w:ascii="Calibri" w:hAnsi="Calibri" w:cs="Calibri"/>
          <w:b/>
          <w:caps/>
          <w:sz w:val="22"/>
          <w:szCs w:val="22"/>
        </w:rPr>
        <w:t>04</w:t>
      </w:r>
      <w:r w:rsidR="00A74413">
        <w:rPr>
          <w:rFonts w:ascii="Calibri" w:hAnsi="Calibri" w:cs="Calibri"/>
          <w:b/>
          <w:caps/>
          <w:sz w:val="22"/>
          <w:szCs w:val="22"/>
        </w:rPr>
        <w:t>5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/202</w:t>
      </w:r>
      <w:r w:rsidR="008B449F" w:rsidRPr="003F69CF">
        <w:rPr>
          <w:rFonts w:ascii="Calibri" w:hAnsi="Calibri" w:cs="Calibri"/>
          <w:b/>
          <w:caps/>
          <w:sz w:val="22"/>
          <w:szCs w:val="22"/>
        </w:rPr>
        <w:t>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04BB6C35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v Příloze č. </w:t>
      </w:r>
      <w:r w:rsidR="00FC0C3D" w:rsidRPr="00D91A60">
        <w:rPr>
          <w:rFonts w:ascii="Calibri" w:hAnsi="Calibri" w:cs="Calibri"/>
          <w:sz w:val="22"/>
          <w:szCs w:val="22"/>
        </w:rPr>
        <w:t>2</w:t>
      </w:r>
      <w:r w:rsidR="00A74413">
        <w:rPr>
          <w:rFonts w:ascii="Calibri" w:hAnsi="Calibri" w:cs="Calibri"/>
          <w:sz w:val="22"/>
          <w:szCs w:val="22"/>
        </w:rPr>
        <w:t>c</w:t>
      </w:r>
      <w:r w:rsidR="00105FD2" w:rsidRPr="00D91A60">
        <w:rPr>
          <w:rFonts w:ascii="Calibri" w:hAnsi="Calibri" w:cs="Calibri"/>
          <w:sz w:val="22"/>
          <w:szCs w:val="22"/>
        </w:rPr>
        <w:t xml:space="preserve"> této Rámcové smlouvy</w:t>
      </w:r>
      <w:r w:rsidR="00105FD2">
        <w:rPr>
          <w:rFonts w:ascii="Calibri" w:hAnsi="Calibri" w:cs="Calibri"/>
          <w:sz w:val="22"/>
          <w:szCs w:val="22"/>
        </w:rPr>
        <w:t>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provádění zákaznických systémových auditů dodavatelů železničních kolejových vozidel a jejich dílů 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(dále </w:t>
      </w:r>
      <w:r w:rsidR="00DB349C">
        <w:rPr>
          <w:rFonts w:asciiTheme="minorHAnsi" w:hAnsiTheme="minorHAnsi" w:cstheme="minorHAnsi"/>
          <w:sz w:val="22"/>
          <w:szCs w:val="22"/>
        </w:rPr>
        <w:t>jen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E05823">
        <w:rPr>
          <w:rFonts w:asciiTheme="minorHAnsi" w:hAnsiTheme="minorHAnsi" w:cstheme="minorHAnsi"/>
          <w:sz w:val="22"/>
          <w:szCs w:val="22"/>
        </w:rPr>
        <w:t>“)</w:t>
      </w:r>
      <w:r w:rsidR="00126EA6">
        <w:rPr>
          <w:rFonts w:asciiTheme="minorHAnsi" w:hAnsiTheme="minorHAnsi" w:cstheme="minorHAnsi"/>
          <w:sz w:val="22"/>
          <w:szCs w:val="22"/>
        </w:rPr>
        <w:t xml:space="preserve"> vyžadováno,</w:t>
      </w:r>
      <w:r w:rsidRPr="00120A54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20A54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>
        <w:rPr>
          <w:rFonts w:asciiTheme="minorHAnsi" w:hAnsiTheme="minorHAnsi" w:cstheme="minorHAnsi"/>
          <w:sz w:val="22"/>
          <w:szCs w:val="22"/>
        </w:rPr>
        <w:t>P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>
        <w:rPr>
          <w:rFonts w:asciiTheme="minorHAnsi" w:hAnsiTheme="minorHAnsi" w:cstheme="minorHAnsi"/>
          <w:sz w:val="22"/>
          <w:szCs w:val="22"/>
        </w:rPr>
        <w:t>ČD</w:t>
      </w:r>
      <w:r w:rsidR="00126EA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20A54">
        <w:rPr>
          <w:rFonts w:asciiTheme="minorHAnsi" w:hAnsiTheme="minorHAnsi" w:cstheme="minorHAnsi"/>
          <w:sz w:val="22"/>
          <w:szCs w:val="22"/>
        </w:rPr>
        <w:t>V6/</w:t>
      </w:r>
      <w:r w:rsidR="00126EA6">
        <w:rPr>
          <w:rFonts w:asciiTheme="minorHAnsi" w:hAnsiTheme="minorHAnsi" w:cstheme="minorHAnsi"/>
          <w:sz w:val="22"/>
          <w:szCs w:val="22"/>
        </w:rPr>
        <w:t>2,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7D5B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20A54">
        <w:rPr>
          <w:rFonts w:asciiTheme="minorHAnsi" w:hAnsiTheme="minorHAnsi" w:cstheme="minorHAnsi"/>
          <w:sz w:val="22"/>
          <w:szCs w:val="22"/>
        </w:rPr>
        <w:t>“)</w:t>
      </w:r>
      <w:r w:rsidR="00126EA6" w:rsidRPr="00120A54">
        <w:rPr>
          <w:rFonts w:asciiTheme="minorHAnsi" w:hAnsiTheme="minorHAnsi" w:cstheme="minorHAnsi"/>
          <w:sz w:val="22"/>
          <w:szCs w:val="22"/>
        </w:rPr>
        <w:t>, prohlašuje Prodávající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že disponuje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lastRenderedPageBreak/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2CCFED01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D056FC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termínech</w:t>
      </w:r>
      <w:r w:rsidR="00D056FC">
        <w:rPr>
          <w:rFonts w:ascii="Calibri" w:hAnsi="Calibri" w:cs="Calibri"/>
          <w:sz w:val="22"/>
          <w:szCs w:val="22"/>
        </w:rPr>
        <w:t xml:space="preserve"> uvedených v Příloze č.</w:t>
      </w:r>
      <w:r w:rsidR="008C4EE3">
        <w:rPr>
          <w:rFonts w:ascii="Calibri" w:hAnsi="Calibri" w:cs="Calibri"/>
          <w:sz w:val="22"/>
          <w:szCs w:val="22"/>
        </w:rPr>
        <w:t>2</w:t>
      </w:r>
      <w:r w:rsidR="00A74413">
        <w:rPr>
          <w:rFonts w:ascii="Calibri" w:hAnsi="Calibri" w:cs="Calibri"/>
          <w:sz w:val="22"/>
          <w:szCs w:val="22"/>
        </w:rPr>
        <w:t>c</w:t>
      </w:r>
      <w:r w:rsidR="00D056FC">
        <w:rPr>
          <w:rFonts w:ascii="Calibri" w:hAnsi="Calibri" w:cs="Calibri"/>
          <w:sz w:val="22"/>
          <w:szCs w:val="22"/>
        </w:rPr>
        <w:t xml:space="preserve"> této Rámcové smlouvy.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5DC2E7CD" w14:textId="77777777" w:rsidR="00F50259" w:rsidRDefault="00F50259" w:rsidP="00F50259">
      <w:pPr>
        <w:widowControl w:val="0"/>
        <w:suppressAutoHyphens/>
        <w:ind w:left="567" w:right="113"/>
        <w:jc w:val="both"/>
        <w:rPr>
          <w:rFonts w:ascii="Calibri" w:hAnsi="Calibri" w:cs="Calibri"/>
          <w:sz w:val="22"/>
          <w:szCs w:val="22"/>
        </w:rPr>
      </w:pPr>
    </w:p>
    <w:p w14:paraId="70666006" w14:textId="660EB858" w:rsidR="00862E57" w:rsidRPr="00F50259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07700B19" w14:textId="77777777" w:rsidR="00862E57" w:rsidRDefault="00862E57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6AC21DDB" w:rsidR="00D035AA" w:rsidRPr="00D035AA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 xml:space="preserve">(dále jen </w:t>
      </w:r>
      <w:r w:rsidR="0070237B">
        <w:rPr>
          <w:rFonts w:ascii="Calibri" w:hAnsi="Calibri" w:cs="Calibri"/>
          <w:sz w:val="22"/>
          <w:szCs w:val="22"/>
        </w:rPr>
        <w:lastRenderedPageBreak/>
        <w:t>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</w:t>
      </w:r>
      <w:r w:rsidRPr="006C08A0">
        <w:rPr>
          <w:rFonts w:ascii="Calibri" w:hAnsi="Calibri" w:cs="Calibri"/>
          <w:sz w:val="22"/>
          <w:szCs w:val="22"/>
        </w:rPr>
        <w:lastRenderedPageBreak/>
        <w:t>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6C08A0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C930995" w14:textId="77777777" w:rsidR="008778D9" w:rsidRPr="005F5BDB" w:rsidRDefault="008778D9" w:rsidP="003B634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5C5067E1" w:rsidR="00595158" w:rsidRPr="0038547A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Zboží specifikované </w:t>
      </w:r>
      <w:r w:rsidR="00D035AA" w:rsidRPr="00D91A60">
        <w:rPr>
          <w:rFonts w:asciiTheme="minorHAnsi" w:hAnsiTheme="minorHAnsi" w:cstheme="minorHAnsi"/>
          <w:sz w:val="22"/>
          <w:szCs w:val="22"/>
        </w:rPr>
        <w:t>v</w:t>
      </w:r>
      <w:r w:rsidR="0038547A" w:rsidRPr="00D91A60">
        <w:rPr>
          <w:rFonts w:asciiTheme="minorHAnsi" w:hAnsiTheme="minorHAnsi" w:cstheme="minorHAnsi"/>
          <w:sz w:val="22"/>
          <w:szCs w:val="22"/>
        </w:rPr>
        <w:t> Příloze č.</w:t>
      </w:r>
      <w:r w:rsidR="00D91A60" w:rsidRPr="00D91A60">
        <w:rPr>
          <w:rFonts w:asciiTheme="minorHAnsi" w:hAnsiTheme="minorHAnsi" w:cstheme="minorHAnsi"/>
          <w:sz w:val="22"/>
          <w:szCs w:val="22"/>
        </w:rPr>
        <w:t>2</w:t>
      </w:r>
      <w:r w:rsidR="00A74413">
        <w:rPr>
          <w:rFonts w:asciiTheme="minorHAnsi" w:hAnsiTheme="minorHAnsi" w:cstheme="minorHAnsi"/>
          <w:sz w:val="22"/>
          <w:szCs w:val="22"/>
        </w:rPr>
        <w:t>c</w:t>
      </w:r>
      <w:r w:rsidR="00D035AA">
        <w:rPr>
          <w:rFonts w:asciiTheme="minorHAnsi" w:hAnsiTheme="minorHAnsi" w:cstheme="minorHAnsi"/>
          <w:sz w:val="22"/>
          <w:szCs w:val="22"/>
        </w:rPr>
        <w:t xml:space="preserve"> 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77777777" w:rsidR="000E0330" w:rsidRPr="004D2C4B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2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3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2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4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4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5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Hlk72308247"/>
      <w:bookmarkEnd w:id="5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7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7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796"/>
      <w:bookmarkEnd w:id="6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9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9"/>
    </w:p>
    <w:p w14:paraId="51061131" w14:textId="0BC486A3" w:rsidR="00BA2847" w:rsidRPr="00D85B4E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4053894"/>
      <w:bookmarkEnd w:id="8"/>
      <w:r w:rsidRPr="00BA2847">
        <w:rPr>
          <w:rFonts w:ascii="Calibri" w:hAnsi="Calibri" w:cs="Calibri"/>
          <w:sz w:val="22"/>
          <w:szCs w:val="22"/>
        </w:rPr>
        <w:t>4.</w:t>
      </w:r>
      <w:r w:rsidR="00B807B3">
        <w:rPr>
          <w:rFonts w:ascii="Calibri" w:hAnsi="Calibri" w:cs="Calibri"/>
          <w:sz w:val="22"/>
          <w:szCs w:val="22"/>
        </w:rPr>
        <w:t>9</w:t>
      </w:r>
      <w:r w:rsidRPr="00BA2847">
        <w:rPr>
          <w:rFonts w:ascii="Calibri" w:hAnsi="Calibri" w:cs="Calibri"/>
          <w:sz w:val="22"/>
          <w:szCs w:val="22"/>
        </w:rPr>
        <w:tab/>
      </w:r>
      <w:bookmarkStart w:id="11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1"/>
    </w:p>
    <w:bookmarkEnd w:id="10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2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2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4" w:name="_Hlk72311919"/>
      <w:bookmarkEnd w:id="13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5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2417"/>
      <w:bookmarkEnd w:id="14"/>
      <w:bookmarkEnd w:id="15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6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7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8" w:name="_Hlk72312591"/>
      <w:bookmarkEnd w:id="17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8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9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758"/>
      <w:bookmarkEnd w:id="19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1" w:name="p2106-1-b"/>
      <w:bookmarkEnd w:id="21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2" w:name="p2106-1-d"/>
      <w:bookmarkEnd w:id="22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3" w:name="_Hlk72313074"/>
      <w:bookmarkEnd w:id="20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4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4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270"/>
      <w:bookmarkEnd w:id="23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530"/>
      <w:bookmarkEnd w:id="25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6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7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8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</w:t>
      </w:r>
      <w:r w:rsidRPr="005F5BDB">
        <w:rPr>
          <w:rFonts w:ascii="Calibri" w:hAnsi="Calibri" w:cs="Calibri"/>
          <w:bCs/>
          <w:sz w:val="22"/>
          <w:szCs w:val="22"/>
        </w:rPr>
        <w:lastRenderedPageBreak/>
        <w:t xml:space="preserve">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29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29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0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0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1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1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proofErr w:type="gramStart"/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proofErr w:type="gramEnd"/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2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2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3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4" w:name="_Hlk31698830"/>
      <w:bookmarkEnd w:id="33"/>
      <w:r>
        <w:rPr>
          <w:rFonts w:ascii="Calibri" w:hAnsi="Calibri" w:cs="Calibri"/>
          <w:b/>
          <w:sz w:val="22"/>
          <w:szCs w:val="22"/>
        </w:rPr>
        <w:lastRenderedPageBreak/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4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5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5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6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6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7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7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8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8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39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39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 xml:space="preserve">Prodávající je oprávněn postoupit své peněžité pohledávky za Kupujícím výhradně po předchozím </w:t>
      </w:r>
      <w:r w:rsidRPr="00445A8E">
        <w:rPr>
          <w:rFonts w:ascii="Calibri" w:hAnsi="Calibri" w:cs="Calibri"/>
          <w:sz w:val="22"/>
          <w:szCs w:val="22"/>
        </w:rPr>
        <w:lastRenderedPageBreak/>
        <w:t>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0" w:name="_Hlk74057356"/>
      <w:bookmarkEnd w:id="27"/>
      <w:bookmarkEnd w:id="28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0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1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1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2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3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3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4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4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5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5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6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6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0BDF056F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05E0315E" w14:textId="77777777" w:rsidR="00BD7F11" w:rsidRPr="005F5BDB" w:rsidRDefault="00BD7F11" w:rsidP="00BD7F11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7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8" w:name="_Hlk74057842"/>
      <w:bookmarkEnd w:id="47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8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49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49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0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1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</w:t>
      </w:r>
      <w:r w:rsidRPr="00445A8E">
        <w:rPr>
          <w:rFonts w:ascii="Calibri" w:hAnsi="Calibri" w:cs="Calibri"/>
          <w:sz w:val="22"/>
          <w:szCs w:val="22"/>
        </w:rPr>
        <w:lastRenderedPageBreak/>
        <w:t xml:space="preserve">se vady v rozsahu specifikovaném v tomto článku Rámcové smlouvy vyskytly. </w:t>
      </w:r>
      <w:bookmarkEnd w:id="51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0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CA6D507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2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3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4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2"/>
    <w:bookmarkEnd w:id="53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5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08524241" w14:textId="155AC475" w:rsidR="00FC0C3D" w:rsidRDefault="00FC0C3D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A74413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– </w:t>
      </w:r>
      <w:r w:rsidR="00D91A60">
        <w:rPr>
          <w:rFonts w:ascii="Calibri" w:hAnsi="Calibri" w:cs="Calibri"/>
          <w:sz w:val="22"/>
          <w:szCs w:val="22"/>
        </w:rPr>
        <w:t>Nabídková cena</w:t>
      </w:r>
    </w:p>
    <w:p w14:paraId="4692D871" w14:textId="171128AD" w:rsidR="00060378" w:rsidRPr="005F5BDB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FC0C3D">
        <w:rPr>
          <w:rFonts w:ascii="Calibri" w:hAnsi="Calibri" w:cs="Calibri"/>
          <w:sz w:val="22"/>
          <w:szCs w:val="22"/>
        </w:rPr>
        <w:t>3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5"/>
    </w:p>
    <w:p w14:paraId="377BA970" w14:textId="3747462F" w:rsidR="00EC0719" w:rsidRDefault="00EC0719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45C59CF" w14:textId="4B0C7CD3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91D8BAF" w14:textId="3D849B08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33C4F4F" w14:textId="5BBB5586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CCCEEFD" w14:textId="1CF93CAD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Horčík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37F8" w14:textId="77777777" w:rsidR="00C81EFF" w:rsidRDefault="00C81EFF">
      <w:r>
        <w:separator/>
      </w:r>
    </w:p>
  </w:endnote>
  <w:endnote w:type="continuationSeparator" w:id="0">
    <w:p w14:paraId="5349DD00" w14:textId="77777777" w:rsidR="00C81EFF" w:rsidRDefault="00C81EFF">
      <w:r>
        <w:continuationSeparator/>
      </w:r>
    </w:p>
  </w:endnote>
  <w:endnote w:type="continuationNotice" w:id="1">
    <w:p w14:paraId="2AAABBF2" w14:textId="77777777" w:rsidR="00C81EFF" w:rsidRDefault="00C8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F63" w14:textId="77777777" w:rsidR="00C81EFF" w:rsidRDefault="00C81EFF">
      <w:r>
        <w:separator/>
      </w:r>
    </w:p>
  </w:footnote>
  <w:footnote w:type="continuationSeparator" w:id="0">
    <w:p w14:paraId="16A28CAA" w14:textId="77777777" w:rsidR="00C81EFF" w:rsidRDefault="00C81EFF">
      <w:r>
        <w:continuationSeparator/>
      </w:r>
    </w:p>
  </w:footnote>
  <w:footnote w:type="continuationNotice" w:id="1">
    <w:p w14:paraId="5E674B6A" w14:textId="77777777" w:rsidR="00C81EFF" w:rsidRDefault="00C8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1592ADBD" w:rsidR="00F9349C" w:rsidRDefault="00EC0719" w:rsidP="00B017BF">
    <w:pPr>
      <w:pStyle w:val="Zhlav"/>
      <w:jc w:val="right"/>
    </w:pPr>
    <w:r w:rsidRPr="00EC0719">
      <w:t>Příloha č.1</w:t>
    </w:r>
    <w:r w:rsidR="00A74413">
      <w:t>c</w:t>
    </w:r>
    <w:r w:rsidRPr="00EC0719">
      <w:t xml:space="preserve"> Výzvy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40046392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6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5B1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3F69CF"/>
    <w:rsid w:val="004002DD"/>
    <w:rsid w:val="00401BA4"/>
    <w:rsid w:val="0040467F"/>
    <w:rsid w:val="00404FC3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7010"/>
    <w:rsid w:val="005601C9"/>
    <w:rsid w:val="00560657"/>
    <w:rsid w:val="00560CD1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6D4C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413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6B22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2FCF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5C47"/>
    <w:rsid w:val="00DF76EA"/>
    <w:rsid w:val="00DF7DEB"/>
    <w:rsid w:val="00E02FFC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F8F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6516</Words>
  <Characters>38445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Kiesewetterová Lucie, Ing.</cp:lastModifiedBy>
  <cp:revision>3</cp:revision>
  <cp:lastPrinted>2022-01-26T15:17:00Z</cp:lastPrinted>
  <dcterms:created xsi:type="dcterms:W3CDTF">2022-02-16T14:40:00Z</dcterms:created>
  <dcterms:modified xsi:type="dcterms:W3CDTF">2022-02-16T14:42:00Z</dcterms:modified>
</cp:coreProperties>
</file>