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 xml:space="preserve">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w:t>
      </w:r>
      <w:r w:rsidRPr="00C15C32">
        <w:rPr>
          <w:rFonts w:ascii="Arial" w:hAnsi="Arial" w:cs="Arial"/>
          <w:iCs/>
          <w:lang w:eastAsia="cs-CZ"/>
        </w:rPr>
        <w:lastRenderedPageBreak/>
        <w:t>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lastRenderedPageBreak/>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 xml:space="preserve">rozsahu dle potřeb zhotovitele. Zhotovitelem rozpracovaná dokumentace musí být odsouhlasena </w:t>
      </w:r>
      <w:r w:rsidRPr="00C15C32">
        <w:rPr>
          <w:rFonts w:ascii="Arial" w:hAnsi="Arial"/>
          <w:lang w:eastAsia="cs-CZ"/>
        </w:rPr>
        <w:lastRenderedPageBreak/>
        <w:t>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 xml:space="preserve">hůta pro </w:t>
      </w:r>
      <w:r w:rsidRPr="00C15C32">
        <w:rPr>
          <w:rFonts w:ascii="Arial" w:hAnsi="Arial"/>
          <w:snapToGrid w:val="0"/>
          <w:lang w:eastAsia="cs-CZ"/>
        </w:rPr>
        <w:lastRenderedPageBreak/>
        <w:t>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w:t>
      </w:r>
      <w:r>
        <w:rPr>
          <w:rFonts w:ascii="Arial" w:hAnsi="Arial"/>
          <w:snapToGrid w:val="0"/>
          <w:lang w:eastAsia="cs-CZ"/>
        </w:rPr>
        <w:lastRenderedPageBreak/>
        <w:t>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w:t>
      </w:r>
      <w:proofErr w:type="gramStart"/>
      <w:r w:rsidR="00E15EB6" w:rsidRPr="009C5C7C">
        <w:rPr>
          <w:rFonts w:ascii="Arial" w:hAnsi="Arial"/>
          <w:snapToGrid w:val="0"/>
          <w:lang w:eastAsia="cs-CZ"/>
        </w:rPr>
        <w:t>s</w:t>
      </w:r>
      <w:proofErr w:type="gramEnd"/>
      <w:r w:rsidR="00E15EB6" w:rsidRPr="009C5C7C">
        <w:rPr>
          <w:rFonts w:ascii="Arial" w:hAnsi="Arial"/>
          <w:snapToGrid w:val="0"/>
          <w:lang w:eastAsia="cs-CZ"/>
        </w:rPr>
        <w:t xml:space="preserve">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w:t>
      </w:r>
      <w:r w:rsidRPr="00C15C32">
        <w:rPr>
          <w:rFonts w:ascii="Arial" w:hAnsi="Arial"/>
          <w:snapToGrid w:val="0"/>
          <w:lang w:eastAsia="cs-CZ"/>
        </w:rPr>
        <w:lastRenderedPageBreak/>
        <w:t xml:space="preserve">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lastRenderedPageBreak/>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dlužné částky za každý i započatý den pr</w:t>
      </w:r>
      <w:bookmarkStart w:id="0" w:name="_GoBack"/>
      <w:bookmarkEnd w:id="0"/>
      <w:r w:rsidRPr="00C15C32">
        <w:rPr>
          <w:rFonts w:ascii="Arial" w:hAnsi="Arial"/>
          <w:snapToGrid w:val="0"/>
          <w:lang w:eastAsia="cs-CZ"/>
        </w:rPr>
        <w:t xml:space="preserve">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9C5C7C"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9C5C7C">
        <w:rPr>
          <w:rFonts w:ascii="Arial" w:hAnsi="Arial"/>
          <w:snapToGrid w:val="0"/>
          <w:lang w:eastAsia="cs-CZ"/>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4B57A6" w:rsidRPr="009C5C7C"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9C5C7C">
        <w:rPr>
          <w:rFonts w:ascii="Arial" w:hAnsi="Arial"/>
          <w:snapToGrid w:val="0"/>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 xml:space="preserve">taveništi a přilehlých pozemcích </w:t>
      </w:r>
      <w:r w:rsidRPr="00C15C32">
        <w:rPr>
          <w:rFonts w:ascii="Arial" w:hAnsi="Arial"/>
          <w:snapToGrid w:val="0"/>
          <w:lang w:eastAsia="cs-CZ"/>
        </w:rPr>
        <w:lastRenderedPageBreak/>
        <w:t>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 xml:space="preserve">bjednatele nejméně pět dnů </w:t>
      </w:r>
      <w:r w:rsidRPr="00C15C32">
        <w:rPr>
          <w:rFonts w:ascii="Arial" w:hAnsi="Arial"/>
          <w:snapToGrid w:val="0"/>
          <w:lang w:eastAsia="cs-CZ"/>
        </w:rPr>
        <w:lastRenderedPageBreak/>
        <w:t>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lastRenderedPageBreak/>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 xml:space="preserve">hotovitel v plném rozsahu. </w:t>
      </w:r>
      <w:r w:rsidRPr="00C15C32">
        <w:rPr>
          <w:rFonts w:ascii="Arial" w:hAnsi="Arial"/>
          <w:snapToGrid w:val="0"/>
          <w:lang w:eastAsia="cs-CZ"/>
        </w:rPr>
        <w:lastRenderedPageBreak/>
        <w:t>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 xml:space="preserve">hotovitele provést po montáži všech takto vzájemně souvisejících strojů nebo zařízení jejich komplexní vyzkoušení, kterým bude prokázáno, že dodané stroje či zařízení společně bezvadně fungují, vykazuje vlastnosti </w:t>
      </w:r>
      <w:r w:rsidRPr="00C15C32">
        <w:rPr>
          <w:rFonts w:ascii="Arial" w:hAnsi="Arial"/>
          <w:snapToGrid w:val="0"/>
          <w:lang w:eastAsia="cs-CZ"/>
        </w:rPr>
        <w:lastRenderedPageBreak/>
        <w:t>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610806" w:rsidRPr="00A83792" w:rsidRDefault="0061080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6D9" w:rsidRDefault="00D336D9" w:rsidP="00B535EB">
      <w:pPr>
        <w:spacing w:after="0" w:line="240" w:lineRule="auto"/>
      </w:pPr>
      <w:r>
        <w:separator/>
      </w:r>
    </w:p>
  </w:endnote>
  <w:endnote w:type="continuationSeparator" w:id="0">
    <w:p w:rsidR="00D336D9" w:rsidRDefault="00D336D9"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6D9" w:rsidRDefault="00D336D9" w:rsidP="00B535EB">
      <w:pPr>
        <w:spacing w:after="0" w:line="240" w:lineRule="auto"/>
      </w:pPr>
      <w:r>
        <w:separator/>
      </w:r>
    </w:p>
  </w:footnote>
  <w:footnote w:type="continuationSeparator" w:id="0">
    <w:p w:rsidR="00D336D9" w:rsidRDefault="00D336D9"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A6"/>
    <w:rsid w:val="00180492"/>
    <w:rsid w:val="002029E1"/>
    <w:rsid w:val="002069DD"/>
    <w:rsid w:val="002C1E42"/>
    <w:rsid w:val="002F0358"/>
    <w:rsid w:val="004B57A6"/>
    <w:rsid w:val="00582D77"/>
    <w:rsid w:val="00596B78"/>
    <w:rsid w:val="00610806"/>
    <w:rsid w:val="006C3DF9"/>
    <w:rsid w:val="007A66A1"/>
    <w:rsid w:val="00841986"/>
    <w:rsid w:val="008E6207"/>
    <w:rsid w:val="00953DB6"/>
    <w:rsid w:val="009C5C7C"/>
    <w:rsid w:val="00B535EB"/>
    <w:rsid w:val="00B91C0D"/>
    <w:rsid w:val="00BA7F90"/>
    <w:rsid w:val="00D336D9"/>
    <w:rsid w:val="00E1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88E2D-621B-4E68-B81C-39DEFF8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7663-84DA-4FD4-BCF6-A4328684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12758</Words>
  <Characters>75279</Characters>
  <Application>Microsoft Office Word</Application>
  <DocSecurity>4</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2</cp:revision>
  <dcterms:created xsi:type="dcterms:W3CDTF">2018-11-12T07:05:00Z</dcterms:created>
  <dcterms:modified xsi:type="dcterms:W3CDTF">2018-11-12T07:05:00Z</dcterms:modified>
</cp:coreProperties>
</file>