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35795F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="004E0D65">
        <w:rPr>
          <w:rFonts w:ascii="Arial" w:hAnsi="Arial" w:cs="Arial"/>
          <w:sz w:val="20"/>
          <w:szCs w:val="20"/>
        </w:rPr>
        <w:t>výměnu</w:t>
      </w:r>
      <w:r w:rsidR="004E0D65" w:rsidRPr="004E0D65">
        <w:rPr>
          <w:rFonts w:ascii="Arial" w:hAnsi="Arial" w:cs="Arial"/>
          <w:sz w:val="20"/>
          <w:szCs w:val="20"/>
        </w:rPr>
        <w:t xml:space="preserve"> umělého povrchu (vč. podkladních vrstev) venkovního multifunkčního hřiště v areálu ZŠ JUDr. Josefa Mareše, Znojmo</w:t>
      </w:r>
      <w:r w:rsidR="004E0D65">
        <w:rPr>
          <w:rFonts w:ascii="Arial" w:hAnsi="Arial" w:cs="Arial"/>
          <w:sz w:val="20"/>
          <w:szCs w:val="20"/>
        </w:rPr>
        <w:t xml:space="preserve"> za nový povrch dle požadované specifikace.</w:t>
      </w:r>
    </w:p>
    <w:p w:rsidR="004148B1" w:rsidRDefault="004E0D65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Nový povrch</w:t>
      </w:r>
      <w:r w:rsidR="004148B1" w:rsidRPr="004148B1">
        <w:rPr>
          <w:rFonts w:ascii="Arial" w:hAnsi="Arial" w:cs="Arial"/>
          <w:sz w:val="20"/>
          <w:szCs w:val="20"/>
        </w:rPr>
        <w:t xml:space="preserve"> musí být opatřen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4E0D65" w:rsidRPr="004E0D65">
        <w:rPr>
          <w:rFonts w:ascii="Arial" w:hAnsi="Arial" w:cs="Arial"/>
          <w:b/>
          <w:sz w:val="20"/>
          <w:szCs w:val="20"/>
        </w:rPr>
        <w:t>ZŠ JUDr. Mareše - výměna umělého povrchu venkovního hřiště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</w:t>
      </w:r>
      <w:r w:rsidR="00A63B5E" w:rsidRPr="004008EA">
        <w:rPr>
          <w:rFonts w:ascii="Arial" w:hAnsi="Arial" w:cs="Arial"/>
          <w:sz w:val="20"/>
          <w:szCs w:val="20"/>
        </w:rPr>
        <w:lastRenderedPageBreak/>
        <w:t xml:space="preserve">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4E0D65" w:rsidRPr="004E0D65">
        <w:rPr>
          <w:rFonts w:ascii="Arial" w:hAnsi="Arial" w:cs="Arial"/>
          <w:b/>
          <w:sz w:val="20"/>
          <w:szCs w:val="20"/>
        </w:rPr>
        <w:t>ZŠ JUDr. Mareše - výměna umělého povrchu venkovního hřiště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4E0D65" w:rsidRPr="004E0D65" w:rsidRDefault="004E0D65" w:rsidP="004E0D65">
      <w:pPr>
        <w:keepNext/>
        <w:spacing w:after="60"/>
        <w:ind w:left="709" w:hanging="352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4E0D65" w:rsidRPr="004E0D65" w:rsidRDefault="004E0D65" w:rsidP="004E0D65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uvedení staveniště do původního stavu (celkový úklid stavby, staveniště a okolí staveniště před předáním a převzetím předmětu díla),</w:t>
      </w:r>
    </w:p>
    <w:p w:rsidR="004E0D65" w:rsidRPr="004E0D65" w:rsidRDefault="004E0D65" w:rsidP="004E0D65">
      <w:pPr>
        <w:keepNext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uvedení dočasně využívaných ploch do původního stavu,</w:t>
      </w:r>
    </w:p>
    <w:p w:rsidR="004E0D65" w:rsidRPr="004E0D65" w:rsidRDefault="004E0D65" w:rsidP="004E0D65">
      <w:pPr>
        <w:keepNext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zajištění bezpečnosti všech osob, chodců a vozidel na staveništi a v okolí staveniště,</w:t>
      </w:r>
    </w:p>
    <w:p w:rsidR="004E0D65" w:rsidRPr="004E0D65" w:rsidRDefault="004E0D65" w:rsidP="004E0D65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4E0D65" w:rsidRPr="004E0D65" w:rsidRDefault="004E0D65" w:rsidP="004E0D65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4E0D65">
        <w:rPr>
          <w:rFonts w:ascii="Arial" w:hAnsi="Arial" w:cs="Arial"/>
          <w:sz w:val="20"/>
          <w:szCs w:val="20"/>
        </w:rPr>
        <w:t>vytvoření všech záznamů, kter</w:t>
      </w:r>
      <w:r>
        <w:rPr>
          <w:rFonts w:ascii="Arial" w:hAnsi="Arial" w:cs="Arial"/>
          <w:sz w:val="20"/>
          <w:szCs w:val="20"/>
        </w:rPr>
        <w:t>ými bude prokázáno dosažení pře</w:t>
      </w:r>
      <w:r w:rsidRPr="004E0D65">
        <w:rPr>
          <w:rFonts w:ascii="Arial" w:hAnsi="Arial" w:cs="Arial"/>
          <w:sz w:val="20"/>
          <w:szCs w:val="20"/>
        </w:rPr>
        <w:t>depsané kvality a předepsaných te</w:t>
      </w:r>
      <w:r w:rsidR="00DE6B47">
        <w:rPr>
          <w:rFonts w:ascii="Arial" w:hAnsi="Arial" w:cs="Arial"/>
          <w:sz w:val="20"/>
          <w:szCs w:val="20"/>
        </w:rPr>
        <w:t>chnických parametrů díla s ohle</w:t>
      </w:r>
      <w:r w:rsidRPr="004E0D65">
        <w:rPr>
          <w:rFonts w:ascii="Arial" w:hAnsi="Arial" w:cs="Arial"/>
          <w:sz w:val="20"/>
          <w:szCs w:val="20"/>
        </w:rPr>
        <w:t xml:space="preserve">dem na předmět využití; předání prohlášení o shodě dle zákona č. 22/1997 Sb., o technických požadavcích na výrobky, ve znění </w:t>
      </w:r>
      <w:proofErr w:type="spellStart"/>
      <w:r w:rsidRPr="004E0D65">
        <w:rPr>
          <w:rFonts w:ascii="Arial" w:hAnsi="Arial" w:cs="Arial"/>
          <w:sz w:val="20"/>
          <w:szCs w:val="20"/>
        </w:rPr>
        <w:t>poz-dějších</w:t>
      </w:r>
      <w:proofErr w:type="spellEnd"/>
      <w:r w:rsidRPr="004E0D65">
        <w:rPr>
          <w:rFonts w:ascii="Arial" w:hAnsi="Arial" w:cs="Arial"/>
          <w:sz w:val="20"/>
          <w:szCs w:val="20"/>
        </w:rPr>
        <w:t xml:space="preserve"> předpisů, k výrobkům, které budou zabudovány do díla, </w:t>
      </w:r>
    </w:p>
    <w:p w:rsidR="0085332C" w:rsidRPr="00ED51E1" w:rsidRDefault="004E0D65" w:rsidP="00DE6B4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E0D6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="00217765"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="00217765"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4E6F3E">
        <w:rPr>
          <w:rFonts w:ascii="Arial" w:hAnsi="Arial" w:cs="Arial"/>
          <w:b/>
          <w:sz w:val="20"/>
          <w:szCs w:val="20"/>
        </w:rPr>
        <w:t>do 5 dnů</w:t>
      </w:r>
      <w:r w:rsidRPr="004E6F3E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ukončení díla a předání jeho předmětu: </w:t>
      </w:r>
      <w:r w:rsidRPr="004E6F3E">
        <w:rPr>
          <w:rFonts w:ascii="Arial" w:hAnsi="Arial" w:cs="Arial"/>
          <w:b/>
          <w:sz w:val="20"/>
          <w:szCs w:val="20"/>
        </w:rPr>
        <w:t>ve lhůtě 60 po sobě jdoucích dnů</w:t>
      </w:r>
      <w:r w:rsidRPr="004E6F3E">
        <w:rPr>
          <w:rFonts w:ascii="Arial" w:hAnsi="Arial" w:cs="Arial"/>
          <w:sz w:val="20"/>
          <w:szCs w:val="20"/>
        </w:rPr>
        <w:t>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b/>
          <w:sz w:val="20"/>
          <w:szCs w:val="20"/>
        </w:rPr>
      </w:pPr>
      <w:r w:rsidRPr="004E6F3E">
        <w:rPr>
          <w:rFonts w:ascii="Arial" w:hAnsi="Arial" w:cs="Arial"/>
          <w:b/>
          <w:sz w:val="20"/>
          <w:szCs w:val="20"/>
        </w:rPr>
        <w:t>Realizace bude probíhat v období letních prázdnin, tj. VII-VIII/2022.</w:t>
      </w:r>
    </w:p>
    <w:p w:rsidR="00BA2EC7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E41C47" w:rsidRPr="004548B1" w:rsidRDefault="00E41C4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41C47">
        <w:rPr>
          <w:rFonts w:ascii="Arial" w:hAnsi="Arial" w:cs="Arial"/>
          <w:sz w:val="20"/>
          <w:szCs w:val="20"/>
        </w:rPr>
        <w:t xml:space="preserve"> důvodu zvláště nepříznivých klimatických podmínek, které prokazatelně brání řádné realizaci díla (či jeho části dotčené zvláště nepříznivými klimatickými podmínkami) tak, že dle relevantních ČSN, případně jiných norem a obecně závazných předpisů účinných v době realizace díla, nelze realizovat dílo či jeho část řádně, a to ani při vynaložení veškeré odborné péče Zhotovitelem, délka příslušné sjednané lhůty se prodlužuje, a to vždy nejdéle o dobu trvání zvláště nepříznivých klimatických podmínek, není-li sjednáno jinak.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>j</w:t>
      </w:r>
      <w:r w:rsidR="0035795F">
        <w:rPr>
          <w:rFonts w:ascii="Arial" w:hAnsi="Arial" w:cs="Arial"/>
          <w:snapToGrid w:val="0"/>
          <w:sz w:val="20"/>
          <w:szCs w:val="20"/>
        </w:rPr>
        <w:t>e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35795F" w:rsidRPr="0035795F">
        <w:rPr>
          <w:rFonts w:ascii="Arial" w:hAnsi="Arial" w:cs="Arial"/>
          <w:snapToGrid w:val="0"/>
          <w:sz w:val="20"/>
          <w:szCs w:val="20"/>
        </w:rPr>
        <w:t>areál tenisových kurtů, Horní Leska, Znojmo</w:t>
      </w:r>
      <w:r w:rsidR="00630384">
        <w:rPr>
          <w:rFonts w:ascii="Arial" w:hAnsi="Arial" w:cs="Arial"/>
          <w:snapToGrid w:val="0"/>
          <w:sz w:val="20"/>
          <w:szCs w:val="20"/>
        </w:rPr>
        <w:t>.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630384" w:rsidRPr="00630384">
        <w:rPr>
          <w:rFonts w:ascii="Arial" w:hAnsi="Arial" w:cs="Arial"/>
          <w:snapToGrid w:val="0"/>
          <w:sz w:val="20"/>
          <w:szCs w:val="20"/>
        </w:rPr>
        <w:t>Místo plnění je blíže 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DE6B47" w:rsidRPr="00DE6B47">
        <w:rPr>
          <w:rFonts w:ascii="Arial" w:hAnsi="Arial" w:cs="Arial"/>
          <w:sz w:val="20"/>
          <w:szCs w:val="20"/>
        </w:rPr>
        <w:t>zahrnuje veškeré</w:t>
      </w:r>
      <w:r w:rsidR="00DE6B47">
        <w:rPr>
          <w:rFonts w:ascii="Arial" w:hAnsi="Arial" w:cs="Arial"/>
          <w:sz w:val="20"/>
          <w:szCs w:val="20"/>
        </w:rPr>
        <w:t xml:space="preserve"> náklady nutné k realizaci před</w:t>
      </w:r>
      <w:r w:rsidR="00DE6B47" w:rsidRPr="00DE6B47">
        <w:rPr>
          <w:rFonts w:ascii="Arial" w:hAnsi="Arial" w:cs="Arial"/>
          <w:sz w:val="20"/>
          <w:szCs w:val="20"/>
        </w:rPr>
        <w:t>mětu zakázky.</w:t>
      </w:r>
      <w:r w:rsidR="00DE6B47">
        <w:rPr>
          <w:rFonts w:ascii="Arial" w:hAnsi="Arial" w:cs="Arial"/>
          <w:sz w:val="20"/>
          <w:szCs w:val="20"/>
        </w:rPr>
        <w:t xml:space="preserve"> Z</w:t>
      </w:r>
      <w:r w:rsidR="004333C5" w:rsidRPr="004548B1">
        <w:rPr>
          <w:rFonts w:ascii="Arial" w:hAnsi="Arial" w:cs="Arial"/>
          <w:sz w:val="20"/>
          <w:szCs w:val="20"/>
        </w:rPr>
        <w:t>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Materiály, polotovary a díly, které budou zhotovitelem použity pro dílo, musí </w:t>
      </w:r>
      <w:r w:rsidR="0077151F">
        <w:rPr>
          <w:rFonts w:ascii="Arial" w:hAnsi="Arial" w:cs="Arial"/>
          <w:sz w:val="20"/>
          <w:szCs w:val="20"/>
        </w:rPr>
        <w:t>vyhovovat danému místu a určení, musí být v souladu</w:t>
      </w:r>
      <w:r w:rsidRPr="004548B1">
        <w:rPr>
          <w:rFonts w:ascii="Arial" w:hAnsi="Arial" w:cs="Arial"/>
          <w:sz w:val="20"/>
          <w:szCs w:val="20"/>
        </w:rPr>
        <w:t xml:space="preserve"> s</w:t>
      </w:r>
      <w:r w:rsidR="0077151F">
        <w:rPr>
          <w:rFonts w:ascii="Arial" w:hAnsi="Arial" w:cs="Arial"/>
          <w:sz w:val="20"/>
          <w:szCs w:val="20"/>
        </w:rPr>
        <w:t> </w:t>
      </w:r>
      <w:r w:rsidRPr="004548B1">
        <w:rPr>
          <w:rFonts w:ascii="Arial" w:hAnsi="Arial" w:cs="Arial"/>
          <w:sz w:val="20"/>
          <w:szCs w:val="20"/>
        </w:rPr>
        <w:t>technickými</w:t>
      </w:r>
      <w:r w:rsidR="0077151F">
        <w:rPr>
          <w:rFonts w:ascii="Arial" w:hAnsi="Arial" w:cs="Arial"/>
          <w:sz w:val="20"/>
          <w:szCs w:val="20"/>
        </w:rPr>
        <w:t xml:space="preserve"> a hygienickými</w:t>
      </w:r>
      <w:r w:rsidRPr="004548B1">
        <w:rPr>
          <w:rFonts w:ascii="Arial" w:hAnsi="Arial" w:cs="Arial"/>
          <w:sz w:val="20"/>
          <w:szCs w:val="20"/>
        </w:rPr>
        <w:t xml:space="preserve"> normami a musí mít příslušné certifikáty o vlastnostech a jakosti</w:t>
      </w:r>
      <w:r w:rsidR="0077151F">
        <w:rPr>
          <w:rFonts w:ascii="Arial" w:hAnsi="Arial" w:cs="Arial"/>
          <w:sz w:val="20"/>
          <w:szCs w:val="20"/>
        </w:rPr>
        <w:t xml:space="preserve"> odpovídajícími danému použití</w:t>
      </w:r>
      <w:r w:rsidRPr="004548B1">
        <w:rPr>
          <w:rFonts w:ascii="Arial" w:hAnsi="Arial" w:cs="Arial"/>
          <w:sz w:val="20"/>
          <w:szCs w:val="20"/>
        </w:rPr>
        <w:t>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Technický dozor stavebníka je oprávněn kontrolovat dodržování projektové dokumentace, kvalitu prováděných prací, dodržování pracovních postupů a činnost zhotovitele při provádění díla. O </w:t>
      </w:r>
      <w:r w:rsidRPr="004548B1">
        <w:rPr>
          <w:rFonts w:ascii="Arial" w:hAnsi="Arial" w:cs="Arial"/>
          <w:sz w:val="20"/>
          <w:szCs w:val="20"/>
        </w:rPr>
        <w:lastRenderedPageBreak/>
        <w:t>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 w:rsidR="00992595">
        <w:rPr>
          <w:rFonts w:ascii="Arial" w:hAnsi="Arial" w:cs="Arial"/>
          <w:sz w:val="20"/>
          <w:szCs w:val="20"/>
        </w:rPr>
        <w:t xml:space="preserve"> (jsou-li na stavbě určeni)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lastRenderedPageBreak/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  <w:r w:rsidR="0059266B">
        <w:rPr>
          <w:rFonts w:ascii="Arial" w:hAnsi="Arial" w:cs="Arial"/>
          <w:sz w:val="20"/>
          <w:szCs w:val="20"/>
        </w:rPr>
        <w:t xml:space="preserve"> V případě, že bude smlouva podepsána elektronicky, toto ustanovení neplatí.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 ve smyslu ust. § 630 odst. 1 občanského zákoníku na prodloužení promlčecí lhůty ve prospěch objednatele tak, že práva vyplývající z této smlouvy či jejího </w:t>
      </w:r>
      <w:r w:rsidRPr="009A7F0B">
        <w:rPr>
          <w:rFonts w:ascii="Arial" w:hAnsi="Arial" w:cs="Arial"/>
          <w:sz w:val="20"/>
          <w:szCs w:val="20"/>
        </w:rPr>
        <w:lastRenderedPageBreak/>
        <w:t>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</w:t>
      </w:r>
      <w:r w:rsidR="000A5CED"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R</w:t>
      </w:r>
      <w:r w:rsidR="008378A6" w:rsidRPr="004548B1">
        <w:rPr>
          <w:rFonts w:ascii="Arial" w:hAnsi="Arial" w:cs="Arial"/>
          <w:sz w:val="20"/>
          <w:szCs w:val="20"/>
        </w:rPr>
        <w:t>ozpočet</w:t>
      </w:r>
    </w:p>
    <w:p w:rsidR="000A5CED" w:rsidRPr="004548B1" w:rsidRDefault="000A5CED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2 - Harmonogram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>Ing. Jakub Malačka</w:t>
      </w:r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B7" w:rsidRDefault="005239B7">
      <w:r>
        <w:separator/>
      </w:r>
    </w:p>
  </w:endnote>
  <w:endnote w:type="continuationSeparator" w:id="0">
    <w:p w:rsidR="005239B7" w:rsidRDefault="0052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341F4">
      <w:rPr>
        <w:rFonts w:ascii="Arial" w:hAnsi="Arial" w:cs="Arial"/>
        <w:b/>
        <w:noProof/>
        <w:color w:val="808080"/>
        <w:sz w:val="20"/>
        <w:szCs w:val="20"/>
      </w:rPr>
      <w:t>3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341F4">
      <w:rPr>
        <w:rFonts w:ascii="Arial" w:hAnsi="Arial" w:cs="Arial"/>
        <w:b/>
        <w:noProof/>
        <w:color w:val="808080"/>
        <w:sz w:val="20"/>
        <w:szCs w:val="20"/>
      </w:rPr>
      <w:t>9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B7" w:rsidRDefault="005239B7">
      <w:r>
        <w:separator/>
      </w:r>
    </w:p>
  </w:footnote>
  <w:footnote w:type="continuationSeparator" w:id="0">
    <w:p w:rsidR="005239B7" w:rsidRDefault="0052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5CED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6C1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0D65"/>
    <w:rsid w:val="004E3352"/>
    <w:rsid w:val="004E3C63"/>
    <w:rsid w:val="004E528F"/>
    <w:rsid w:val="004E6F3E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239B7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266B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51F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41F4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92595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038B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B7377"/>
    <w:rsid w:val="00DC0165"/>
    <w:rsid w:val="00DC07D0"/>
    <w:rsid w:val="00DD09E4"/>
    <w:rsid w:val="00DE038F"/>
    <w:rsid w:val="00DE6B47"/>
    <w:rsid w:val="00DF4BA1"/>
    <w:rsid w:val="00E06268"/>
    <w:rsid w:val="00E13F54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2CA6-1C7B-424A-A93D-B54DDD38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9</Pages>
  <Words>4771</Words>
  <Characters>28149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76</cp:revision>
  <cp:lastPrinted>2021-03-31T13:46:00Z</cp:lastPrinted>
  <dcterms:created xsi:type="dcterms:W3CDTF">2016-04-12T12:06:00Z</dcterms:created>
  <dcterms:modified xsi:type="dcterms:W3CDTF">2022-03-03T13:40:00Z</dcterms:modified>
</cp:coreProperties>
</file>