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6011" w14:textId="43F05E85" w:rsidR="00961DDF" w:rsidRPr="001B0C4B" w:rsidRDefault="000524E4" w:rsidP="00863DCB">
      <w:pPr>
        <w:pStyle w:val="Normlny1"/>
        <w:spacing w:after="0"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1B0C4B">
        <w:rPr>
          <w:rFonts w:asciiTheme="minorHAnsi" w:hAnsiTheme="minorHAnsi" w:cstheme="minorHAnsi"/>
          <w:b/>
          <w:sz w:val="18"/>
          <w:szCs w:val="18"/>
        </w:rPr>
        <w:t>ZÁPISNIC</w:t>
      </w:r>
      <w:r w:rsidR="008A7421">
        <w:rPr>
          <w:rFonts w:asciiTheme="minorHAnsi" w:hAnsiTheme="minorHAnsi" w:cstheme="minorHAnsi"/>
          <w:b/>
          <w:sz w:val="18"/>
          <w:szCs w:val="18"/>
        </w:rPr>
        <w:t>A</w:t>
      </w:r>
      <w:r w:rsidRPr="001B0C4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7118C3" w:rsidRPr="001B0C4B">
        <w:rPr>
          <w:rFonts w:asciiTheme="minorHAnsi" w:hAnsiTheme="minorHAnsi" w:cstheme="minorHAnsi"/>
          <w:b/>
          <w:sz w:val="18"/>
          <w:szCs w:val="18"/>
        </w:rPr>
        <w:t>O VYHODNOTENÍ PONÚK</w:t>
      </w:r>
    </w:p>
    <w:p w14:paraId="465B3F6C" w14:textId="77777777" w:rsidR="007118C3" w:rsidRPr="001B0C4B" w:rsidRDefault="007118C3" w:rsidP="00863DCB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 zmysle § 53 ods. 9 zákona č. 343/2015 Z. z. o verejnom obstarávaní a o zmene a doplnení niektorých zákonov (ďalej len „zákon“)</w:t>
      </w:r>
    </w:p>
    <w:p w14:paraId="359CE482" w14:textId="77777777" w:rsidR="006F3899" w:rsidRPr="001B0C4B" w:rsidRDefault="006F3899" w:rsidP="00863DCB">
      <w:pPr>
        <w:pStyle w:val="Normlny1"/>
        <w:spacing w:after="0" w:line="240" w:lineRule="auto"/>
        <w:jc w:val="both"/>
        <w:rPr>
          <w:rStyle w:val="Predvolenpsmoodseku1"/>
          <w:rFonts w:asciiTheme="minorHAnsi" w:hAnsiTheme="minorHAnsi" w:cstheme="minorHAnsi"/>
          <w:sz w:val="18"/>
          <w:szCs w:val="18"/>
        </w:rPr>
      </w:pPr>
    </w:p>
    <w:p w14:paraId="4FF36CEE" w14:textId="77777777" w:rsidR="00EA2539" w:rsidRPr="00134909" w:rsidRDefault="00EA2539" w:rsidP="00EA2539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</w:rPr>
      </w:pPr>
      <w:bookmarkStart w:id="0" w:name="_Hlk67339593"/>
      <w:bookmarkStart w:id="1" w:name="_Hlk67339249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 xml:space="preserve">Číslo spisu: </w:t>
      </w: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</w:rPr>
        <w:tab/>
      </w:r>
      <w:r w:rsidRPr="00134909">
        <w:rPr>
          <w:sz w:val="20"/>
          <w:szCs w:val="20"/>
        </w:rPr>
        <w:t>09484/2021/ODDVO-0</w:t>
      </w:r>
      <w:r>
        <w:rPr>
          <w:sz w:val="20"/>
          <w:szCs w:val="20"/>
        </w:rPr>
        <w:t>21</w:t>
      </w:r>
    </w:p>
    <w:p w14:paraId="48A6C146" w14:textId="77777777" w:rsidR="00EA2539" w:rsidRPr="00134909" w:rsidRDefault="00EA2539" w:rsidP="00EA2539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2" w:name="_Hlk58431402"/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Verejný obstarávateľ: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Start w:id="3" w:name="_Hlk58430891"/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Banskobystrický samosprávny kraj, Námestie SNP 23,  974 01 Banská Bystrica</w:t>
      </w:r>
      <w:bookmarkEnd w:id="3"/>
    </w:p>
    <w:p w14:paraId="405179F7" w14:textId="77777777" w:rsidR="00EA2539" w:rsidRDefault="00EA2539" w:rsidP="00EA2539">
      <w:pPr>
        <w:pStyle w:val="Bezriadkovania"/>
        <w:tabs>
          <w:tab w:val="left" w:pos="2268"/>
        </w:tabs>
        <w:ind w:left="2127" w:hanging="2127"/>
        <w:jc w:val="both"/>
        <w:rPr>
          <w:rFonts w:eastAsia="Arial"/>
          <w:b/>
          <w:sz w:val="20"/>
          <w:szCs w:val="20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Predmet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bookmarkEnd w:id="0"/>
      <w:r w:rsidRPr="00B72936">
        <w:rPr>
          <w:rFonts w:eastAsia="Arial"/>
          <w:b/>
          <w:sz w:val="20"/>
          <w:szCs w:val="20"/>
        </w:rPr>
        <w:t>Zabezpečenie dodávok mäsových výrobkov pre organizácie BBSK_Výzva č. 1</w:t>
      </w:r>
      <w:r>
        <w:rPr>
          <w:rFonts w:eastAsia="Arial"/>
          <w:b/>
          <w:sz w:val="20"/>
          <w:szCs w:val="20"/>
        </w:rPr>
        <w:t>1</w:t>
      </w:r>
      <w:r w:rsidRPr="00B72936">
        <w:rPr>
          <w:rFonts w:eastAsia="Arial"/>
          <w:b/>
          <w:sz w:val="20"/>
          <w:szCs w:val="20"/>
        </w:rPr>
        <w:t xml:space="preserve"> DNS</w:t>
      </w:r>
    </w:p>
    <w:p w14:paraId="10C0C2EA" w14:textId="77777777" w:rsidR="00EA2539" w:rsidRDefault="00EA2539" w:rsidP="00EA2539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Vyhlásené: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 xml:space="preserve">Výzvou na predkladanie ponúk zverejnenou v systéme JOSEPHINE dňa 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21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.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1.202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 a zaslanou všetkým záujemcom, zaradeným k momentu vyhlásenia výzv</w:t>
      </w:r>
      <w:r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 xml:space="preserve">y 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>do zriadeného dynamického nákupného systému (ďalej len „DNS“) s predmetom Dodávanie čerstvých potravín najvyššej akosti s uplatnením sociálneho aspektu</w:t>
      </w:r>
    </w:p>
    <w:p w14:paraId="4E0237BD" w14:textId="77777777" w:rsidR="00EA2539" w:rsidRPr="00134909" w:rsidRDefault="00EA2539" w:rsidP="00EA2539">
      <w:pPr>
        <w:pStyle w:val="Bezriadkovania"/>
        <w:tabs>
          <w:tab w:val="left" w:pos="2268"/>
        </w:tabs>
        <w:ind w:left="2127" w:hanging="2127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Postup: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zadávaná v rámci zriadeného DNS (Výzva č. 1)</w:t>
      </w:r>
    </w:p>
    <w:p w14:paraId="4621385C" w14:textId="77777777" w:rsidR="00EA2539" w:rsidRPr="00134909" w:rsidRDefault="00EA2539" w:rsidP="00EA2539">
      <w:pPr>
        <w:pStyle w:val="Bezriadkovania"/>
        <w:jc w:val="both"/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134909">
        <w:rPr>
          <w:rStyle w:val="Predvolenpsmoodseku1"/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Typ zákazky:</w:t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134909">
        <w:rPr>
          <w:rStyle w:val="Predvolenpsmoodseku1"/>
          <w:rFonts w:asciiTheme="minorHAnsi" w:eastAsia="Times New Roman" w:hAnsiTheme="minorHAnsi" w:cstheme="minorHAnsi"/>
          <w:sz w:val="20"/>
          <w:szCs w:val="20"/>
          <w:lang w:eastAsia="cs-CZ"/>
        </w:rPr>
        <w:tab/>
        <w:t>zákazka na dodanie tovaru</w:t>
      </w:r>
    </w:p>
    <w:bookmarkEnd w:id="1"/>
    <w:bookmarkEnd w:id="2"/>
    <w:p w14:paraId="252495FE" w14:textId="77777777" w:rsidR="004210B6" w:rsidRPr="009F65ED" w:rsidRDefault="004210B6" w:rsidP="004210B6">
      <w:pPr>
        <w:pStyle w:val="Bezriadkovania"/>
        <w:ind w:left="2127" w:hanging="2127"/>
        <w:jc w:val="both"/>
        <w:rPr>
          <w:sz w:val="20"/>
          <w:szCs w:val="20"/>
        </w:rPr>
      </w:pPr>
    </w:p>
    <w:p w14:paraId="079AF7EF" w14:textId="77777777" w:rsidR="004210B6" w:rsidRPr="009F65ED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Lehota na predkladanie ponúk (žiadostí o zaradenie do DNS):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</w:p>
    <w:p w14:paraId="5F264A50" w14:textId="77777777" w:rsidR="004210B6" w:rsidRPr="009F65ED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25.10.2021 do 09:00 hod., elektronicky prostredníctvom komunikačného rozhrania systému JOSEPHINE.</w:t>
      </w:r>
    </w:p>
    <w:p w14:paraId="5AFDCBA2" w14:textId="77777777" w:rsidR="004210B6" w:rsidRPr="009F65ED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5579E742" w14:textId="77777777" w:rsidR="004210B6" w:rsidRPr="009F65ED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Lehota na predkladanie ponúk (v rámci zriadeného DNS):</w:t>
      </w:r>
    </w:p>
    <w:p w14:paraId="40A9ADE9" w14:textId="2884EEA3" w:rsidR="004210B6" w:rsidRPr="009F65ED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="00EA2539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.2022 do </w:t>
      </w:r>
      <w:r w:rsidR="00EA2539">
        <w:rPr>
          <w:rFonts w:asciiTheme="minorHAnsi" w:eastAsia="Times New Roman" w:hAnsiTheme="minorHAnsi" w:cstheme="minorHAnsi"/>
          <w:sz w:val="20"/>
          <w:szCs w:val="20"/>
          <w:lang w:eastAsia="cs-CZ"/>
        </w:rPr>
        <w:t>09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:00 hod., elektronicky prostredníctvom komunikačného rozhrania systému JOSEPHINE.</w:t>
      </w:r>
    </w:p>
    <w:p w14:paraId="4881A2CE" w14:textId="77777777" w:rsidR="004210B6" w:rsidRPr="009F65ED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</w:p>
    <w:p w14:paraId="304F868A" w14:textId="77777777" w:rsidR="004210B6" w:rsidRPr="009F65ED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Otváranie ponúk (v rámci zriadeného DNS): </w:t>
      </w:r>
    </w:p>
    <w:p w14:paraId="75E91D78" w14:textId="039DB1C4" w:rsidR="004210B6" w:rsidRPr="009F65ED" w:rsidRDefault="004210B6" w:rsidP="004210B6">
      <w:pPr>
        <w:widowControl w:val="0"/>
        <w:spacing w:after="0" w:line="240" w:lineRule="auto"/>
        <w:ind w:left="2124" w:hanging="2124"/>
        <w:jc w:val="both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9F65ED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="00EA2539">
        <w:rPr>
          <w:rFonts w:asciiTheme="minorHAnsi" w:eastAsia="Times New Roman" w:hAnsiTheme="minorHAnsi" w:cstheme="minorHAnsi"/>
          <w:sz w:val="20"/>
          <w:szCs w:val="20"/>
          <w:lang w:eastAsia="cs-CZ"/>
        </w:rPr>
        <w:t>2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.0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3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>.2022 o 1</w:t>
      </w:r>
      <w:r w:rsidR="00EA2539">
        <w:rPr>
          <w:rFonts w:asciiTheme="minorHAnsi" w:eastAsia="Times New Roman" w:hAnsiTheme="minorHAnsi" w:cstheme="minorHAnsi"/>
          <w:sz w:val="20"/>
          <w:szCs w:val="20"/>
          <w:lang w:eastAsia="cs-CZ"/>
        </w:rPr>
        <w:t>0</w:t>
      </w:r>
      <w:r w:rsidRPr="009F65ED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:00 hod., prostredníctvom elektronického systému JOSEPHINE (Online sprístupnením ponúk). </w:t>
      </w:r>
    </w:p>
    <w:p w14:paraId="504235F0" w14:textId="77777777" w:rsidR="00B70F30" w:rsidRDefault="00B70F30" w:rsidP="00B70F30">
      <w:pPr>
        <w:pStyle w:val="Normlny1"/>
        <w:suppressAutoHyphens w:val="0"/>
        <w:spacing w:after="0" w:line="240" w:lineRule="auto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</w:p>
    <w:p w14:paraId="171C0A03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70902">
        <w:rPr>
          <w:rFonts w:cstheme="minorHAnsi"/>
          <w:sz w:val="20"/>
          <w:szCs w:val="20"/>
        </w:rPr>
        <w:t xml:space="preserve">Ponuky </w:t>
      </w:r>
      <w:r>
        <w:rPr>
          <w:rFonts w:cstheme="minorHAnsi"/>
          <w:sz w:val="20"/>
          <w:szCs w:val="20"/>
        </w:rPr>
        <w:t xml:space="preserve">vyhodnocovala </w:t>
      </w:r>
      <w:r w:rsidRPr="00470902">
        <w:rPr>
          <w:rFonts w:cstheme="minorHAnsi"/>
          <w:sz w:val="20"/>
          <w:szCs w:val="20"/>
        </w:rPr>
        <w:t>komisia v nasledovnom zložení:</w:t>
      </w:r>
    </w:p>
    <w:p w14:paraId="29B8D60E" w14:textId="77777777" w:rsidR="00B70F30" w:rsidRPr="00470902" w:rsidRDefault="00B70F30" w:rsidP="00B70F30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50435E5A" w14:textId="77777777" w:rsidR="00D54CFB" w:rsidRPr="00B66B69" w:rsidRDefault="00D54CFB" w:rsidP="00D54CFB">
      <w:pPr>
        <w:pStyle w:val="Normlny1"/>
        <w:tabs>
          <w:tab w:val="left" w:pos="2127"/>
        </w:tabs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</w:pPr>
      <w:bookmarkStart w:id="4" w:name="_Hlk67039208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RA BBSK</w:t>
      </w:r>
    </w:p>
    <w:p w14:paraId="438789CC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člen komisie s právom vyhodnocovať ponuky, BBSK</w:t>
      </w:r>
    </w:p>
    <w:bookmarkEnd w:id="4"/>
    <w:p w14:paraId="41BE2E8D" w14:textId="77777777" w:rsidR="00D54CFB" w:rsidRPr="00B66B69" w:rsidRDefault="00D54CFB" w:rsidP="00D54CFB">
      <w:pPr>
        <w:pStyle w:val="Normlny1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člen komisie s právom vyhodnocovať ponuky</w:t>
      </w: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 xml:space="preserve">, </w:t>
      </w:r>
      <w:r w:rsidRPr="00B66B69">
        <w:rPr>
          <w:rFonts w:asciiTheme="minorHAnsi" w:eastAsia="Times New Roman" w:hAnsiTheme="minorHAnsi" w:cstheme="minorHAnsi"/>
          <w:bCs/>
          <w:sz w:val="20"/>
          <w:szCs w:val="20"/>
          <w:lang w:eastAsia="cs-CZ"/>
        </w:rPr>
        <w:t>BBSK</w:t>
      </w:r>
    </w:p>
    <w:p w14:paraId="2BC36A15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02C9605B" w14:textId="77777777" w:rsidR="007118C3" w:rsidRPr="001B0C4B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všetkých uchádzačov, ktorí predložili ponuku v lehote na predkladanie ponúk</w:t>
      </w:r>
    </w:p>
    <w:tbl>
      <w:tblPr>
        <w:tblW w:w="9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8640"/>
      </w:tblGrid>
      <w:tr w:rsidR="00EA2539" w:rsidRPr="00993B13" w14:paraId="709094E7" w14:textId="77777777" w:rsidTr="00EA2539">
        <w:trPr>
          <w:trHeight w:val="260"/>
          <w:jc w:val="center"/>
        </w:trPr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BEC9EC4" w14:textId="77777777" w:rsidR="00EA2539" w:rsidRPr="00993B13" w:rsidRDefault="00EA2539" w:rsidP="00077C68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P.č.</w:t>
            </w:r>
          </w:p>
        </w:tc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14:paraId="4F93B4EC" w14:textId="77777777" w:rsidR="00EA2539" w:rsidRPr="00993B13" w:rsidRDefault="00EA2539" w:rsidP="00077C68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993B13">
              <w:rPr>
                <w:rFonts w:cs="Calibri"/>
                <w:sz w:val="20"/>
                <w:szCs w:val="20"/>
              </w:rPr>
              <w:t>Obchodné meno uchádzača/skupiny dodávateľov (v zátvorke je informácia, na ktorú časť resp. časti predmetu zákazky uchádzač predložil ponuku)</w:t>
            </w:r>
          </w:p>
        </w:tc>
      </w:tr>
      <w:tr w:rsidR="00EA2539" w:rsidRPr="00993B13" w14:paraId="7B2F1B5E" w14:textId="77777777" w:rsidTr="00EA2539">
        <w:trPr>
          <w:trHeight w:val="390"/>
          <w:jc w:val="center"/>
        </w:trPr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D5395" w14:textId="77777777" w:rsidR="00EA2539" w:rsidRPr="00993B13" w:rsidRDefault="00EA2539" w:rsidP="00077C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C6A1A" w14:textId="77777777" w:rsidR="00EA2539" w:rsidRDefault="00EA2539" w:rsidP="00077C6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M-NOVOMAX-D s.r.o., ., IČO: 36650757</w:t>
            </w:r>
          </w:p>
        </w:tc>
      </w:tr>
      <w:tr w:rsidR="00EA2539" w:rsidRPr="00993B13" w14:paraId="5F6F036D" w14:textId="77777777" w:rsidTr="00EA2539">
        <w:trPr>
          <w:trHeight w:val="390"/>
          <w:jc w:val="center"/>
        </w:trPr>
        <w:tc>
          <w:tcPr>
            <w:tcW w:w="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9E0A1" w14:textId="77777777" w:rsidR="00EA2539" w:rsidRDefault="00EA2539" w:rsidP="00077C6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8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B6784" w14:textId="77777777" w:rsidR="00EA2539" w:rsidRDefault="00EA2539" w:rsidP="00077C6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Soldanus Group s.r.o., IČO: 50465481</w:t>
            </w:r>
          </w:p>
        </w:tc>
      </w:tr>
    </w:tbl>
    <w:p w14:paraId="7E894938" w14:textId="2F6F3918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416DE1C5" w14:textId="0CDDA1B6" w:rsidR="0078636E" w:rsidRDefault="0078636E" w:rsidP="0078636E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Všetci uchádzači boli vyzvaní na predloženie ponúk na základe ich zaradenia do dynamického nákupného systému, a teda splnili všetky podmienky na</w:t>
      </w:r>
      <w:r w:rsidR="009D3B1A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 zaradenie do DNS.</w:t>
      </w:r>
    </w:p>
    <w:p w14:paraId="58EE1A25" w14:textId="4EF10509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78636E">
        <w:rPr>
          <w:rFonts w:cs="Calibri"/>
          <w:b/>
          <w:sz w:val="18"/>
          <w:szCs w:val="18"/>
        </w:rPr>
        <w:t>Komisia vyhodnotila ponuky z hľadiska plnenia kritéria na vyhodnotenie ponúk a následne u uchádzača na 1. mieste v poradí vyhodnotila splnenie požiadaviek verejného obstarávateľa na predmet zákazky.</w:t>
      </w:r>
    </w:p>
    <w:p w14:paraId="0F5B04F0" w14:textId="77777777" w:rsidR="0078636E" w:rsidRDefault="0078636E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73CAD730" w14:textId="6B1088D3" w:rsidR="007118C3" w:rsidRDefault="007118C3" w:rsidP="00863DCB">
      <w:pPr>
        <w:tabs>
          <w:tab w:val="left" w:pos="426"/>
        </w:tabs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Zoznam vylúčených uchádzačov</w:t>
      </w:r>
      <w:r w:rsidR="00F95FD8">
        <w:rPr>
          <w:rFonts w:cs="Calibri"/>
          <w:b/>
          <w:sz w:val="18"/>
          <w:szCs w:val="18"/>
        </w:rPr>
        <w:t>/položiek</w:t>
      </w:r>
      <w:r w:rsidRPr="001B0C4B">
        <w:rPr>
          <w:rFonts w:cs="Calibri"/>
          <w:b/>
          <w:sz w:val="18"/>
          <w:szCs w:val="18"/>
        </w:rPr>
        <w:t xml:space="preserve"> s uvedením dôvodu ich vylúčenia</w:t>
      </w:r>
    </w:p>
    <w:p w14:paraId="745DF877" w14:textId="22269662" w:rsidR="00436583" w:rsidRPr="00EA2539" w:rsidRDefault="00EA2539" w:rsidP="00863DCB">
      <w:pPr>
        <w:tabs>
          <w:tab w:val="left" w:pos="426"/>
        </w:tabs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EA2539">
        <w:rPr>
          <w:rFonts w:cs="Calibri"/>
          <w:bCs/>
          <w:sz w:val="18"/>
          <w:szCs w:val="18"/>
        </w:rPr>
        <w:t>Neaplikuje sa.</w:t>
      </w:r>
    </w:p>
    <w:p w14:paraId="64CEAE73" w14:textId="5176D04D" w:rsidR="00F95FD8" w:rsidRDefault="00F95FD8" w:rsidP="00F95FD8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56220A70" w14:textId="77777777" w:rsidR="00436583" w:rsidRPr="003B1597" w:rsidRDefault="00436583" w:rsidP="00F95FD8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0A8B067" w14:textId="6A02B61E" w:rsidR="007118C3" w:rsidRPr="001B0C4B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t>Dôvody vylúčenia mimoriadne nízkych ponúk</w:t>
      </w:r>
    </w:p>
    <w:p w14:paraId="62841D4F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Neaplikuje sa.</w:t>
      </w:r>
    </w:p>
    <w:p w14:paraId="01653AE4" w14:textId="77777777" w:rsidR="007118C3" w:rsidRPr="001B0C4B" w:rsidRDefault="007118C3" w:rsidP="00863DCB">
      <w:pPr>
        <w:pStyle w:val="Odsekzoznamu"/>
        <w:spacing w:after="0" w:line="240" w:lineRule="auto"/>
        <w:ind w:left="1074"/>
        <w:jc w:val="both"/>
        <w:rPr>
          <w:rFonts w:cs="Calibri"/>
          <w:sz w:val="18"/>
          <w:szCs w:val="18"/>
        </w:rPr>
      </w:pPr>
    </w:p>
    <w:p w14:paraId="2390FDF1" w14:textId="77777777" w:rsidR="007118C3" w:rsidRDefault="007118C3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 w:rsidRPr="001B0C4B">
        <w:rPr>
          <w:rFonts w:cs="Calibri"/>
          <w:b/>
          <w:sz w:val="18"/>
          <w:szCs w:val="18"/>
        </w:rPr>
        <w:lastRenderedPageBreak/>
        <w:t>Poradie uchádzačov a identifikácia úspešného uchádzača alebo úspešných uchádzačov s uvedením dôvodov úspešnosti ponuky alebo ponúk; podiel subdodávky, ak je známy</w:t>
      </w:r>
    </w:p>
    <w:p w14:paraId="0C6ADA7A" w14:textId="0A1D2190" w:rsidR="00E601FA" w:rsidRDefault="00E601FA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</w:p>
    <w:p w14:paraId="1A9D4876" w14:textId="1CE76EDA" w:rsidR="00F95FD8" w:rsidRDefault="00F95FD8" w:rsidP="00863DCB">
      <w:pPr>
        <w:spacing w:after="0" w:line="240" w:lineRule="auto"/>
        <w:jc w:val="both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Uchádzač</w:t>
      </w:r>
      <w:r w:rsidR="00EA2539">
        <w:rPr>
          <w:rFonts w:cs="Calibri"/>
          <w:b/>
          <w:sz w:val="18"/>
          <w:szCs w:val="18"/>
        </w:rPr>
        <w:t xml:space="preserve"> </w:t>
      </w:r>
      <w:r w:rsidR="00EA2539" w:rsidRPr="00EA2539">
        <w:rPr>
          <w:rFonts w:cs="Calibri"/>
          <w:b/>
          <w:sz w:val="18"/>
          <w:szCs w:val="18"/>
        </w:rPr>
        <w:t>Soldanus Group s.r.o., IČO: 50465481</w:t>
      </w:r>
    </w:p>
    <w:p w14:paraId="4340FDC1" w14:textId="54F7FF52" w:rsidR="00C547FC" w:rsidRDefault="00C547FC" w:rsidP="00863DCB">
      <w:pPr>
        <w:spacing w:after="0" w:line="240" w:lineRule="auto"/>
        <w:jc w:val="both"/>
        <w:rPr>
          <w:rFonts w:cs="Calibri"/>
          <w:b/>
        </w:rPr>
      </w:pPr>
    </w:p>
    <w:p w14:paraId="2F53B89F" w14:textId="77777777" w:rsidR="007118C3" w:rsidRDefault="007118C3" w:rsidP="00863DCB">
      <w:pPr>
        <w:spacing w:after="0" w:line="240" w:lineRule="auto"/>
        <w:jc w:val="both"/>
        <w:rPr>
          <w:rFonts w:cs="Calibri"/>
          <w:b/>
        </w:rPr>
      </w:pPr>
      <w:r w:rsidRPr="00863DCB">
        <w:rPr>
          <w:rFonts w:cs="Calibri"/>
          <w:b/>
        </w:rPr>
        <w:t>VYHODNOTENIE SPLNENIA POŽIADAVIEK VEREJNÉHO OBSTARÁVATEĽA NA PREDMET ZÁKAZKY</w:t>
      </w:r>
    </w:p>
    <w:p w14:paraId="4BD99BC7" w14:textId="274F7B3F" w:rsidR="00EA2539" w:rsidRDefault="003B1597" w:rsidP="00EA2539">
      <w:pPr>
        <w:rPr>
          <w:rFonts w:asciiTheme="minorHAnsi" w:hAnsiTheme="minorHAnsi" w:cstheme="minorHAnsi"/>
          <w:b/>
          <w:sz w:val="20"/>
          <w:szCs w:val="20"/>
        </w:rPr>
      </w:pPr>
      <w:r w:rsidRPr="00863DCB">
        <w:rPr>
          <w:rFonts w:cs="Calibri"/>
          <w:b/>
          <w:bCs/>
        </w:rPr>
        <w:t xml:space="preserve">Uchádzač </w:t>
      </w:r>
      <w:r w:rsidR="00EA2539" w:rsidRPr="00EA2539">
        <w:rPr>
          <w:rFonts w:asciiTheme="minorHAnsi" w:hAnsiTheme="minorHAnsi" w:cstheme="minorHAnsi"/>
          <w:b/>
          <w:sz w:val="20"/>
          <w:szCs w:val="20"/>
        </w:rPr>
        <w:t>Soldanus Group s.r.o., IČO: 50465481</w:t>
      </w:r>
      <w:r w:rsidR="00EA2539">
        <w:rPr>
          <w:rFonts w:asciiTheme="minorHAnsi" w:hAnsiTheme="minorHAnsi" w:cstheme="minorHAnsi"/>
          <w:b/>
          <w:sz w:val="20"/>
          <w:szCs w:val="20"/>
        </w:rPr>
        <w:t xml:space="preserve"> sa umiestnil na 1. mieste z hľadiska plnenia kritéria </w:t>
      </w:r>
      <w:r w:rsidR="00554DDE">
        <w:rPr>
          <w:rFonts w:asciiTheme="minorHAnsi" w:hAnsiTheme="minorHAnsi" w:cstheme="minorHAnsi"/>
          <w:b/>
          <w:sz w:val="20"/>
          <w:szCs w:val="20"/>
        </w:rPr>
        <w:t xml:space="preserve">(najnižšia cena za celý predmet zákazky) </w:t>
      </w:r>
      <w:r w:rsidR="00EA2539">
        <w:rPr>
          <w:rFonts w:asciiTheme="minorHAnsi" w:hAnsiTheme="minorHAnsi" w:cstheme="minorHAnsi"/>
          <w:b/>
          <w:sz w:val="20"/>
          <w:szCs w:val="20"/>
        </w:rPr>
        <w:t>a stal sa úspešným uchádzačom.</w:t>
      </w:r>
    </w:p>
    <w:tbl>
      <w:tblPr>
        <w:tblW w:w="8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8"/>
        <w:gridCol w:w="2551"/>
        <w:gridCol w:w="2410"/>
      </w:tblGrid>
      <w:tr w:rsidR="00EA2539" w:rsidRPr="00C84F08" w14:paraId="59342AEB" w14:textId="77777777" w:rsidTr="00BA7997">
        <w:trPr>
          <w:trHeight w:val="615"/>
          <w:jc w:val="center"/>
        </w:trPr>
        <w:tc>
          <w:tcPr>
            <w:tcW w:w="323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0424B9" w14:textId="77777777" w:rsidR="00EA2539" w:rsidRPr="00C84F08" w:rsidRDefault="00EA2539" w:rsidP="00077C68">
            <w:pPr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t>Položka</w:t>
            </w: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1A074" w14:textId="730E8220" w:rsidR="00EA2539" w:rsidRPr="00C84F08" w:rsidRDefault="00EA2539" w:rsidP="00077C68">
            <w:pPr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1. </w:t>
            </w:r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t>Soldanus Group s.r.o. (cena za MJ s</w:t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 DPH</w:t>
            </w:r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t>)</w:t>
            </w:r>
            <w:r w:rsidR="00EC1122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 – úspešný uchádzač</w:t>
            </w:r>
          </w:p>
        </w:tc>
        <w:tc>
          <w:tcPr>
            <w:tcW w:w="241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D9D9D9"/>
            <w:vAlign w:val="center"/>
            <w:hideMark/>
          </w:tcPr>
          <w:p w14:paraId="3D75546A" w14:textId="2CAEC42F" w:rsidR="00EA2539" w:rsidRPr="00C84F08" w:rsidRDefault="00EA2539" w:rsidP="00BA7997">
            <w:pPr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2. </w:t>
            </w:r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t xml:space="preserve">M-NOVOMAX-D s.r.o. (cena za MJ s </w:t>
            </w:r>
            <w:r>
              <w:rPr>
                <w:rFonts w:eastAsia="Times New Roman" w:cs="Calibri"/>
                <w:b/>
                <w:bCs/>
                <w:color w:val="000000"/>
                <w:lang w:eastAsia="sk-SK"/>
              </w:rPr>
              <w:t>DPH</w:t>
            </w:r>
            <w:r w:rsidRPr="00C84F08">
              <w:rPr>
                <w:rFonts w:eastAsia="Times New Roman" w:cs="Calibri"/>
                <w:b/>
                <w:bCs/>
                <w:color w:val="000000"/>
                <w:lang w:eastAsia="sk-SK"/>
              </w:rPr>
              <w:t>)</w:t>
            </w:r>
          </w:p>
        </w:tc>
      </w:tr>
      <w:tr w:rsidR="00EA2539" w:rsidRPr="00C84F08" w14:paraId="21D00AD4" w14:textId="77777777" w:rsidTr="005D5521">
        <w:trPr>
          <w:trHeight w:val="300"/>
          <w:jc w:val="center"/>
        </w:trPr>
        <w:tc>
          <w:tcPr>
            <w:tcW w:w="323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4CFE" w14:textId="22C36D25" w:rsidR="00EA2539" w:rsidRPr="00C84F08" w:rsidRDefault="005D5521" w:rsidP="00BA7997">
            <w:pPr>
              <w:autoSpaceDN/>
              <w:spacing w:after="0" w:line="240" w:lineRule="auto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Celková cena za súbor položiek uvedených v prílohe č. 1</w:t>
            </w:r>
            <w:r w:rsidR="00BA7997"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 xml:space="preserve"> SP_K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sk-SK"/>
              </w:rPr>
              <w:t>atalóg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7B07" w14:textId="081287E5" w:rsidR="00EA2539" w:rsidRPr="00C84F08" w:rsidRDefault="005D5521" w:rsidP="00077C6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12 659,99 € s DPH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916B58" w14:textId="4EA8AFC1" w:rsidR="00EA2539" w:rsidRPr="00C84F08" w:rsidRDefault="005D5521" w:rsidP="00077C68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sk-SK"/>
              </w:rPr>
              <w:t>12 730,56 € s DPH</w:t>
            </w:r>
          </w:p>
        </w:tc>
      </w:tr>
    </w:tbl>
    <w:p w14:paraId="7071A059" w14:textId="77777777" w:rsidR="005D5521" w:rsidRDefault="005D5521" w:rsidP="00EA2539">
      <w:pPr>
        <w:jc w:val="both"/>
        <w:rPr>
          <w:rFonts w:cs="Calibri"/>
          <w:sz w:val="18"/>
          <w:szCs w:val="18"/>
        </w:rPr>
      </w:pPr>
    </w:p>
    <w:p w14:paraId="2D29350B" w14:textId="7DEFB7F8" w:rsidR="009814BB" w:rsidRDefault="003B1597" w:rsidP="00EA2539">
      <w:pPr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 xml:space="preserve">Komisia preskúmala ponuku uchádzača a skonštatovala, že uchádzač predložil </w:t>
      </w:r>
      <w:r>
        <w:rPr>
          <w:rFonts w:cs="Calibri"/>
          <w:sz w:val="18"/>
          <w:szCs w:val="18"/>
        </w:rPr>
        <w:t>požadované doklady v zmysle SP</w:t>
      </w:r>
      <w:r w:rsidR="00D54CFB">
        <w:rPr>
          <w:rFonts w:cs="Calibri"/>
          <w:sz w:val="18"/>
          <w:szCs w:val="18"/>
        </w:rPr>
        <w:t xml:space="preserve"> – </w:t>
      </w:r>
      <w:r w:rsidR="00436583">
        <w:rPr>
          <w:rFonts w:cs="Calibri"/>
          <w:sz w:val="18"/>
          <w:szCs w:val="18"/>
        </w:rPr>
        <w:t>zoznam dodávateľov suroviny-mäsa od farmárov</w:t>
      </w:r>
      <w:r w:rsidR="00D54CFB">
        <w:rPr>
          <w:rFonts w:cs="Calibri"/>
          <w:sz w:val="18"/>
          <w:szCs w:val="18"/>
        </w:rPr>
        <w:t xml:space="preserve"> a ocenený Katalóg</w:t>
      </w:r>
      <w:r>
        <w:rPr>
          <w:rFonts w:cs="Calibri"/>
          <w:sz w:val="18"/>
          <w:szCs w:val="18"/>
        </w:rPr>
        <w:t xml:space="preserve">. </w:t>
      </w:r>
      <w:r w:rsidR="009814BB">
        <w:rPr>
          <w:rFonts w:cs="Calibri"/>
          <w:sz w:val="18"/>
          <w:szCs w:val="18"/>
        </w:rPr>
        <w:t xml:space="preserve">Komisia zároveň skonštatovala, že uchádzač predložil zoznam </w:t>
      </w:r>
      <w:r w:rsidR="00CF2407">
        <w:rPr>
          <w:rFonts w:cs="Calibri"/>
          <w:sz w:val="18"/>
          <w:szCs w:val="18"/>
        </w:rPr>
        <w:t>zloženia výrobkov</w:t>
      </w:r>
      <w:r w:rsidR="00EA2539">
        <w:rPr>
          <w:rFonts w:cs="Calibri"/>
          <w:sz w:val="18"/>
          <w:szCs w:val="18"/>
        </w:rPr>
        <w:t xml:space="preserve"> </w:t>
      </w:r>
      <w:r w:rsidR="00D50227">
        <w:rPr>
          <w:rFonts w:cs="Calibri"/>
          <w:sz w:val="18"/>
          <w:szCs w:val="18"/>
        </w:rPr>
        <w:t>dňa 2</w:t>
      </w:r>
      <w:r w:rsidR="00EA2539">
        <w:rPr>
          <w:rFonts w:cs="Calibri"/>
          <w:sz w:val="18"/>
          <w:szCs w:val="18"/>
        </w:rPr>
        <w:t>3</w:t>
      </w:r>
      <w:r w:rsidR="00D50227">
        <w:rPr>
          <w:rFonts w:cs="Calibri"/>
          <w:sz w:val="18"/>
          <w:szCs w:val="18"/>
        </w:rPr>
        <w:t>.03.2022 prostredníctvom komunikačného systému rozhrania JOSEPHINE</w:t>
      </w:r>
      <w:r w:rsidR="00EA2539">
        <w:rPr>
          <w:rFonts w:cs="Calibri"/>
          <w:sz w:val="18"/>
          <w:szCs w:val="18"/>
        </w:rPr>
        <w:t xml:space="preserve">. </w:t>
      </w:r>
      <w:r w:rsidR="00D50227">
        <w:rPr>
          <w:rFonts w:cs="Calibri"/>
          <w:sz w:val="18"/>
          <w:szCs w:val="18"/>
        </w:rPr>
        <w:t xml:space="preserve">Komisia skonštatovala, že z uchádzačom predloženého dokumentu zloženia výrobkov </w:t>
      </w:r>
      <w:r w:rsidR="00985462">
        <w:rPr>
          <w:rFonts w:cs="Calibri"/>
          <w:sz w:val="18"/>
          <w:szCs w:val="18"/>
        </w:rPr>
        <w:t xml:space="preserve">vyplýva </w:t>
      </w:r>
      <w:r w:rsidR="00D50227">
        <w:rPr>
          <w:rFonts w:cs="Calibri"/>
          <w:sz w:val="18"/>
          <w:szCs w:val="18"/>
        </w:rPr>
        <w:t>splnenie požiadaviek na predmet zákazky</w:t>
      </w:r>
      <w:r w:rsidR="00985462">
        <w:rPr>
          <w:rFonts w:cs="Calibri"/>
          <w:sz w:val="18"/>
          <w:szCs w:val="18"/>
        </w:rPr>
        <w:t>.</w:t>
      </w:r>
    </w:p>
    <w:p w14:paraId="0356BEB0" w14:textId="24709D4C" w:rsidR="0078636E" w:rsidRDefault="003B1597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Komisia</w:t>
      </w:r>
      <w:r w:rsidR="00CF2407">
        <w:rPr>
          <w:rFonts w:cs="Calibri"/>
          <w:bCs/>
          <w:sz w:val="18"/>
          <w:szCs w:val="18"/>
        </w:rPr>
        <w:t xml:space="preserve"> zároveň</w:t>
      </w:r>
      <w:r>
        <w:rPr>
          <w:rFonts w:cs="Calibri"/>
          <w:bCs/>
          <w:sz w:val="18"/>
          <w:szCs w:val="18"/>
        </w:rPr>
        <w:t xml:space="preserve"> preskúmala uchádzačom predložený návrh na plnenie kritérií </w:t>
      </w:r>
      <w:r w:rsidR="00D54CFB">
        <w:rPr>
          <w:rFonts w:cs="Calibri"/>
          <w:bCs/>
          <w:sz w:val="18"/>
          <w:szCs w:val="18"/>
        </w:rPr>
        <w:t xml:space="preserve">– Katalóg </w:t>
      </w:r>
      <w:r>
        <w:rPr>
          <w:rFonts w:cs="Calibri"/>
          <w:bCs/>
          <w:sz w:val="18"/>
          <w:szCs w:val="18"/>
        </w:rPr>
        <w:t xml:space="preserve">a skonštatovala, že </w:t>
      </w:r>
      <w:r w:rsidR="00A514E1">
        <w:rPr>
          <w:rFonts w:cs="Calibri"/>
          <w:bCs/>
          <w:sz w:val="18"/>
          <w:szCs w:val="18"/>
        </w:rPr>
        <w:t>c</w:t>
      </w:r>
      <w:r>
        <w:rPr>
          <w:rFonts w:cs="Calibri"/>
          <w:bCs/>
          <w:sz w:val="18"/>
          <w:szCs w:val="18"/>
        </w:rPr>
        <w:t>elková cena za celý predmet zákazky prekračuje predpokladanú hodnotu zákazky</w:t>
      </w:r>
      <w:r w:rsidR="003B2493">
        <w:rPr>
          <w:rFonts w:cs="Calibri"/>
          <w:bCs/>
          <w:sz w:val="18"/>
          <w:szCs w:val="18"/>
        </w:rPr>
        <w:t xml:space="preserve"> </w:t>
      </w:r>
      <w:r w:rsidR="00743ADF">
        <w:rPr>
          <w:rFonts w:cs="Calibri"/>
          <w:bCs/>
          <w:sz w:val="18"/>
          <w:szCs w:val="18"/>
        </w:rPr>
        <w:t>v</w:t>
      </w:r>
      <w:r w:rsidR="00036E62">
        <w:rPr>
          <w:rFonts w:cs="Calibri"/>
          <w:bCs/>
          <w:sz w:val="18"/>
          <w:szCs w:val="18"/>
        </w:rPr>
        <w:t> niektorých</w:t>
      </w:r>
      <w:r w:rsidR="00743ADF">
        <w:rPr>
          <w:rFonts w:cs="Calibri"/>
          <w:bCs/>
          <w:sz w:val="18"/>
          <w:szCs w:val="18"/>
        </w:rPr>
        <w:t> </w:t>
      </w:r>
      <w:r w:rsidR="003B2493">
        <w:rPr>
          <w:rFonts w:cs="Calibri"/>
          <w:bCs/>
          <w:sz w:val="18"/>
          <w:szCs w:val="18"/>
        </w:rPr>
        <w:t>položkách</w:t>
      </w:r>
      <w:r w:rsidR="00036E62">
        <w:rPr>
          <w:rFonts w:cs="Calibri"/>
          <w:bCs/>
          <w:sz w:val="18"/>
          <w:szCs w:val="18"/>
        </w:rPr>
        <w:t>, celková hodnota zákazky však neprekračuje predpokladanú hodnotu zákazky.</w:t>
      </w:r>
      <w:r w:rsidR="004824B0">
        <w:rPr>
          <w:rFonts w:cs="Calibri"/>
          <w:bCs/>
          <w:sz w:val="18"/>
          <w:szCs w:val="18"/>
        </w:rPr>
        <w:t xml:space="preserve"> </w:t>
      </w:r>
      <w:r w:rsidR="0078636E">
        <w:rPr>
          <w:rFonts w:cs="Calibri"/>
          <w:bCs/>
          <w:sz w:val="18"/>
          <w:szCs w:val="18"/>
        </w:rPr>
        <w:t>Celková suma uvedená v Návrhu na plnenie kritéria sa zhoduje s celkovou sumou uvedenou v elektronickom systéme JOSEPHINE.</w:t>
      </w:r>
      <w:r w:rsidR="00A514E1">
        <w:rPr>
          <w:rFonts w:cs="Calibri"/>
          <w:bCs/>
          <w:sz w:val="18"/>
          <w:szCs w:val="18"/>
        </w:rPr>
        <w:t xml:space="preserve"> </w:t>
      </w:r>
    </w:p>
    <w:p w14:paraId="2E47417F" w14:textId="7EA88378" w:rsidR="004824B0" w:rsidRDefault="004824B0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21C886BC" w14:textId="0A96CB8E" w:rsidR="004824B0" w:rsidRDefault="004824B0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>
        <w:rPr>
          <w:rFonts w:cs="Calibri"/>
          <w:bCs/>
          <w:sz w:val="18"/>
          <w:szCs w:val="18"/>
        </w:rPr>
        <w:t>Komisia identifikovala nezrovnalosť v % sadzbe DPH. Komisia skonštatovala, že uchádzač v predloženej ponuke uviedol sadzbu 20% DPH</w:t>
      </w:r>
      <w:r w:rsidR="00D576EC">
        <w:rPr>
          <w:rFonts w:cs="Calibri"/>
          <w:bCs/>
          <w:sz w:val="18"/>
          <w:szCs w:val="18"/>
        </w:rPr>
        <w:t xml:space="preserve">. </w:t>
      </w:r>
      <w:r w:rsidR="00D576EC" w:rsidRPr="00D576EC">
        <w:rPr>
          <w:rFonts w:cs="Calibri"/>
          <w:bCs/>
          <w:sz w:val="18"/>
          <w:szCs w:val="18"/>
        </w:rPr>
        <w:t>Verejný obstarávateľ má za to, že registrované sociálne podniky majú pri dodávaní tovarov pre verejný sektor zníženú sadzbu DPH. Zo zákona č. 112/2008 Z. z. o sociálnej ekonomiky a článku XIV bod. 2 písm. b) i tohto zákona vyplýva, že</w:t>
      </w:r>
      <w:r w:rsidR="00D576EC">
        <w:rPr>
          <w:rFonts w:cs="Calibri"/>
          <w:bCs/>
          <w:sz w:val="18"/>
          <w:szCs w:val="18"/>
        </w:rPr>
        <w:t xml:space="preserve"> na uchádzača sa uplatňuje znížená sadzba dane vo výške 10% DPH. Verejný obstarávateľ požiadal dňa 2</w:t>
      </w:r>
      <w:r w:rsidR="00036E62">
        <w:rPr>
          <w:rFonts w:cs="Calibri"/>
          <w:bCs/>
          <w:sz w:val="18"/>
          <w:szCs w:val="18"/>
        </w:rPr>
        <w:t>2</w:t>
      </w:r>
      <w:r w:rsidR="00D576EC">
        <w:rPr>
          <w:rFonts w:cs="Calibri"/>
          <w:bCs/>
          <w:sz w:val="18"/>
          <w:szCs w:val="18"/>
        </w:rPr>
        <w:t>.0.2022 uchádzača prostredníctvom komunikačného rozhrania systému JOSEPHINE o vysvetlenie. Uchádzač v odpovedi zo dňa 22.0</w:t>
      </w:r>
      <w:r w:rsidR="00036E62">
        <w:rPr>
          <w:rFonts w:cs="Calibri"/>
          <w:bCs/>
          <w:sz w:val="18"/>
          <w:szCs w:val="18"/>
        </w:rPr>
        <w:t>4</w:t>
      </w:r>
      <w:r w:rsidR="00D576EC">
        <w:rPr>
          <w:rFonts w:cs="Calibri"/>
          <w:bCs/>
          <w:sz w:val="18"/>
          <w:szCs w:val="18"/>
        </w:rPr>
        <w:t xml:space="preserve">.2022 uviedol, že </w:t>
      </w:r>
      <w:r w:rsidR="00036E62">
        <w:rPr>
          <w:rFonts w:cs="Calibri"/>
          <w:bCs/>
          <w:sz w:val="18"/>
          <w:szCs w:val="18"/>
        </w:rPr>
        <w:t xml:space="preserve">ako chránená dielňa nemá zníženú sadzbu dane,  </w:t>
      </w:r>
      <w:r w:rsidR="00D576EC">
        <w:rPr>
          <w:rFonts w:cs="Calibri"/>
          <w:bCs/>
          <w:sz w:val="18"/>
          <w:szCs w:val="18"/>
        </w:rPr>
        <w:t>20% sadzb</w:t>
      </w:r>
      <w:r w:rsidR="00036E62">
        <w:rPr>
          <w:rFonts w:cs="Calibri"/>
          <w:bCs/>
          <w:sz w:val="18"/>
          <w:szCs w:val="18"/>
        </w:rPr>
        <w:t>a je teda správna. Komisia vyhodnotila vysvetlenie ako</w:t>
      </w:r>
      <w:r w:rsidR="00EC1122">
        <w:rPr>
          <w:rFonts w:cs="Calibri"/>
          <w:bCs/>
          <w:sz w:val="18"/>
          <w:szCs w:val="18"/>
        </w:rPr>
        <w:t xml:space="preserve"> opodstatnené a</w:t>
      </w:r>
      <w:r w:rsidR="00036E62">
        <w:rPr>
          <w:rFonts w:cs="Calibri"/>
          <w:bCs/>
          <w:sz w:val="18"/>
          <w:szCs w:val="18"/>
        </w:rPr>
        <w:t xml:space="preserve"> </w:t>
      </w:r>
      <w:r w:rsidR="00EC1122">
        <w:rPr>
          <w:rFonts w:cs="Calibri"/>
          <w:bCs/>
          <w:sz w:val="18"/>
          <w:szCs w:val="18"/>
        </w:rPr>
        <w:t>dostačujúce a akceptovala uvedenú sadzbu DPH.</w:t>
      </w:r>
    </w:p>
    <w:p w14:paraId="7F1F5F5D" w14:textId="719A72D6" w:rsidR="009B2C10" w:rsidRDefault="009B2C10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2FC20E8" w14:textId="265AF0CD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>Komisia zároveň konštatuje, že v zmysle súťažných podkladov časti A. Pokyny na vypracovanie ponuky a všeobecné informácie, bodu 3. Typ zmluvy uchádzač predložením ponuky vyjadril súhlas so zmluvnými podmienkami uvedenými v záväznom návrhu Kúpnej zmluvy, ktorá tvorí prílohu č. 2 Súťažných podkladov.</w:t>
      </w:r>
    </w:p>
    <w:p w14:paraId="09D4A997" w14:textId="3E7AB36A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441ADC5" w14:textId="0A46A67E" w:rsidR="0078636E" w:rsidRDefault="0078636E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78636E">
        <w:rPr>
          <w:rFonts w:cs="Calibri"/>
          <w:bCs/>
          <w:sz w:val="18"/>
          <w:szCs w:val="18"/>
        </w:rPr>
        <w:t xml:space="preserve">Nakoľko z predložených </w:t>
      </w:r>
      <w:r w:rsidR="00510EE3">
        <w:rPr>
          <w:rFonts w:cs="Calibri"/>
          <w:bCs/>
          <w:sz w:val="18"/>
          <w:szCs w:val="18"/>
        </w:rPr>
        <w:t xml:space="preserve">a doplnených </w:t>
      </w:r>
      <w:r w:rsidRPr="0078636E">
        <w:rPr>
          <w:rFonts w:cs="Calibri"/>
          <w:bCs/>
          <w:sz w:val="18"/>
          <w:szCs w:val="18"/>
        </w:rPr>
        <w:t>dokladov komisii vyplynulo splnenie všetkých požadovaných náležitostí týkajúcich sa predmetu zákazky</w:t>
      </w:r>
      <w:r w:rsidR="00AD2357">
        <w:rPr>
          <w:rFonts w:cs="Calibri"/>
          <w:bCs/>
          <w:sz w:val="18"/>
          <w:szCs w:val="18"/>
        </w:rPr>
        <w:t xml:space="preserve"> (položky spĺňajúce požiadavky na predmet zákazky)</w:t>
      </w:r>
      <w:r w:rsidRPr="0078636E">
        <w:rPr>
          <w:rFonts w:cs="Calibri"/>
          <w:bCs/>
          <w:sz w:val="18"/>
          <w:szCs w:val="18"/>
        </w:rPr>
        <w:t xml:space="preserve"> </w:t>
      </w:r>
      <w:r>
        <w:rPr>
          <w:rFonts w:cs="Calibri"/>
          <w:bCs/>
          <w:sz w:val="18"/>
          <w:szCs w:val="18"/>
        </w:rPr>
        <w:t>komisia</w:t>
      </w:r>
      <w:r w:rsidRPr="0078636E">
        <w:rPr>
          <w:rFonts w:cs="Calibri"/>
          <w:bCs/>
          <w:sz w:val="18"/>
          <w:szCs w:val="18"/>
        </w:rPr>
        <w:t xml:space="preserve"> skonštatovala, že ponuka uchádzača splnila všetky požiadavky verejného obstarávateľa na predmet zákazky</w:t>
      </w:r>
      <w:r w:rsidR="009B2C10">
        <w:rPr>
          <w:rFonts w:cs="Calibri"/>
          <w:bCs/>
          <w:sz w:val="18"/>
          <w:szCs w:val="18"/>
        </w:rPr>
        <w:t>.</w:t>
      </w:r>
    </w:p>
    <w:p w14:paraId="3AE2D04A" w14:textId="2A5D7376" w:rsidR="009B2C10" w:rsidRDefault="009B2C10" w:rsidP="003B1597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4177B344" w14:textId="45B19F22" w:rsidR="007118C3" w:rsidRPr="001B0C4B" w:rsidRDefault="007118C3" w:rsidP="00863DCB">
      <w:pPr>
        <w:spacing w:after="0" w:line="240" w:lineRule="auto"/>
        <w:jc w:val="both"/>
        <w:rPr>
          <w:rFonts w:cs="Calibri"/>
          <w:b/>
          <w:bCs/>
          <w:sz w:val="18"/>
          <w:szCs w:val="18"/>
          <w:u w:val="single"/>
        </w:rPr>
      </w:pPr>
      <w:r w:rsidRPr="001B0C4B">
        <w:rPr>
          <w:rFonts w:cs="Calibri"/>
          <w:b/>
          <w:bCs/>
          <w:sz w:val="18"/>
          <w:szCs w:val="18"/>
          <w:u w:val="single"/>
        </w:rPr>
        <w:t>Záverečné stanovisko komisie.</w:t>
      </w:r>
    </w:p>
    <w:p w14:paraId="4705FA2D" w14:textId="59EC0FCE" w:rsidR="0078636E" w:rsidRDefault="009B2C10" w:rsidP="00035B8D">
      <w:pPr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K</w:t>
      </w:r>
      <w:r w:rsidR="003B1597">
        <w:rPr>
          <w:rFonts w:cs="Calibri"/>
          <w:sz w:val="18"/>
          <w:szCs w:val="18"/>
        </w:rPr>
        <w:t>omisia vyhodnotila ponuk</w:t>
      </w:r>
      <w:r w:rsidR="004824B0">
        <w:rPr>
          <w:rFonts w:cs="Calibri"/>
          <w:sz w:val="18"/>
          <w:szCs w:val="18"/>
        </w:rPr>
        <w:t xml:space="preserve">u </w:t>
      </w:r>
      <w:r w:rsidR="003B1597">
        <w:rPr>
          <w:rFonts w:cs="Calibri"/>
          <w:sz w:val="18"/>
          <w:szCs w:val="18"/>
        </w:rPr>
        <w:t>z hľadiska plnenia kritéria</w:t>
      </w:r>
      <w:r w:rsidR="005D5521">
        <w:rPr>
          <w:rFonts w:cs="Calibri"/>
          <w:sz w:val="18"/>
          <w:szCs w:val="18"/>
        </w:rPr>
        <w:t xml:space="preserve"> (najnižšia celková cena za všetky položky</w:t>
      </w:r>
      <w:r w:rsidR="00BA7997">
        <w:rPr>
          <w:rFonts w:cs="Calibri"/>
          <w:sz w:val="18"/>
          <w:szCs w:val="18"/>
        </w:rPr>
        <w:t xml:space="preserve">) </w:t>
      </w:r>
      <w:r w:rsidR="003B1597">
        <w:rPr>
          <w:rFonts w:cs="Calibri"/>
          <w:sz w:val="18"/>
          <w:szCs w:val="18"/>
        </w:rPr>
        <w:t>a následne pristúpila k vyhodnoteniu požiadaviek na predmet zákazky</w:t>
      </w:r>
      <w:r w:rsidR="00A514E1">
        <w:rPr>
          <w:rFonts w:cs="Calibri"/>
          <w:sz w:val="18"/>
          <w:szCs w:val="18"/>
        </w:rPr>
        <w:t xml:space="preserve"> u uchádzača, ktorý sa z hľadiska plnenia kritéria umiestnil na prvom mieste v poradí</w:t>
      </w:r>
      <w:r w:rsidR="003B1597">
        <w:rPr>
          <w:rFonts w:cs="Calibri"/>
          <w:sz w:val="18"/>
          <w:szCs w:val="18"/>
        </w:rPr>
        <w:t>. Komisia</w:t>
      </w:r>
      <w:r w:rsidR="00035B8D">
        <w:rPr>
          <w:rFonts w:cs="Calibri"/>
          <w:sz w:val="18"/>
          <w:szCs w:val="18"/>
        </w:rPr>
        <w:t xml:space="preserve"> </w:t>
      </w:r>
      <w:r w:rsidR="003B1597">
        <w:rPr>
          <w:rFonts w:cs="Calibri"/>
          <w:sz w:val="18"/>
          <w:szCs w:val="18"/>
        </w:rPr>
        <w:t>skonštatovala, že ponuk</w:t>
      </w:r>
      <w:r w:rsidR="00A514E1">
        <w:rPr>
          <w:rFonts w:cs="Calibri"/>
          <w:sz w:val="18"/>
          <w:szCs w:val="18"/>
        </w:rPr>
        <w:t>a</w:t>
      </w:r>
      <w:r w:rsidR="003B1597">
        <w:rPr>
          <w:rFonts w:cs="Calibri"/>
          <w:sz w:val="18"/>
          <w:szCs w:val="18"/>
        </w:rPr>
        <w:t xml:space="preserve"> uchádzač</w:t>
      </w:r>
      <w:r w:rsidR="00A514E1">
        <w:rPr>
          <w:rFonts w:cs="Calibri"/>
          <w:sz w:val="18"/>
          <w:szCs w:val="18"/>
        </w:rPr>
        <w:t>a</w:t>
      </w:r>
      <w:r w:rsidR="0078636E">
        <w:rPr>
          <w:rFonts w:cs="Calibri"/>
          <w:sz w:val="18"/>
          <w:szCs w:val="18"/>
        </w:rPr>
        <w:t>,</w:t>
      </w:r>
      <w:r w:rsidR="003B1597">
        <w:rPr>
          <w:rFonts w:cs="Calibri"/>
          <w:sz w:val="18"/>
          <w:szCs w:val="18"/>
        </w:rPr>
        <w:t xml:space="preserve"> </w:t>
      </w:r>
      <w:r w:rsidR="00EC1122" w:rsidRPr="00EA2539">
        <w:rPr>
          <w:rFonts w:asciiTheme="minorHAnsi" w:hAnsiTheme="minorHAnsi" w:cstheme="minorHAnsi"/>
          <w:b/>
          <w:sz w:val="20"/>
          <w:szCs w:val="20"/>
        </w:rPr>
        <w:t>Soldanus Group s.r.o., IČO: 50465481</w:t>
      </w:r>
      <w:r w:rsidR="0078636E">
        <w:rPr>
          <w:rFonts w:asciiTheme="minorHAnsi" w:hAnsiTheme="minorHAnsi" w:cstheme="minorHAnsi"/>
          <w:color w:val="000000"/>
          <w:sz w:val="20"/>
          <w:szCs w:val="20"/>
          <w:lang w:eastAsia="sk-SK"/>
        </w:rPr>
        <w:t xml:space="preserve">, </w:t>
      </w:r>
      <w:r w:rsidR="003B1597">
        <w:rPr>
          <w:rFonts w:cs="Calibri"/>
          <w:sz w:val="18"/>
          <w:szCs w:val="18"/>
        </w:rPr>
        <w:t>splnil</w:t>
      </w:r>
      <w:r w:rsidR="00A514E1">
        <w:rPr>
          <w:rFonts w:cs="Calibri"/>
          <w:sz w:val="18"/>
          <w:szCs w:val="18"/>
        </w:rPr>
        <w:t>a</w:t>
      </w:r>
      <w:r w:rsidR="003B1597">
        <w:rPr>
          <w:rFonts w:cs="Calibri"/>
          <w:sz w:val="18"/>
          <w:szCs w:val="18"/>
        </w:rPr>
        <w:t xml:space="preserve"> požiadavky na predmet zákazky a odporúča verejnému obstarávateľovi</w:t>
      </w:r>
      <w:r w:rsidR="0078636E">
        <w:rPr>
          <w:rFonts w:cs="Calibri"/>
          <w:sz w:val="18"/>
          <w:szCs w:val="18"/>
        </w:rPr>
        <w:t>, aby túto ponuku prijal</w:t>
      </w:r>
      <w:r w:rsidR="004824B0">
        <w:rPr>
          <w:rFonts w:cs="Calibri"/>
          <w:sz w:val="18"/>
          <w:szCs w:val="18"/>
        </w:rPr>
        <w:t>a</w:t>
      </w:r>
      <w:r>
        <w:rPr>
          <w:rFonts w:cs="Calibri"/>
          <w:sz w:val="18"/>
          <w:szCs w:val="18"/>
        </w:rPr>
        <w:t xml:space="preserve"> </w:t>
      </w:r>
      <w:r w:rsidR="0078636E">
        <w:rPr>
          <w:rFonts w:cs="Calibri"/>
          <w:sz w:val="18"/>
          <w:szCs w:val="18"/>
        </w:rPr>
        <w:t>a s uchádzačom uzavrel</w:t>
      </w:r>
      <w:r w:rsidR="004824B0">
        <w:rPr>
          <w:rFonts w:cs="Calibri"/>
          <w:sz w:val="18"/>
          <w:szCs w:val="18"/>
        </w:rPr>
        <w:t>a</w:t>
      </w:r>
      <w:r w:rsidR="0078636E">
        <w:rPr>
          <w:rFonts w:cs="Calibri"/>
          <w:sz w:val="18"/>
          <w:szCs w:val="18"/>
        </w:rPr>
        <w:t xml:space="preserve"> zmlu</w:t>
      </w:r>
      <w:r w:rsidR="00510EE3">
        <w:rPr>
          <w:rFonts w:cs="Calibri"/>
          <w:sz w:val="18"/>
          <w:szCs w:val="18"/>
        </w:rPr>
        <w:t>vu.</w:t>
      </w:r>
    </w:p>
    <w:p w14:paraId="2825015C" w14:textId="414963A0" w:rsidR="007118C3" w:rsidRPr="003C2058" w:rsidRDefault="007118C3" w:rsidP="00A348C2">
      <w:pPr>
        <w:rPr>
          <w:rFonts w:asciiTheme="minorHAnsi" w:hAnsiTheme="minorHAnsi" w:cstheme="minorHAnsi"/>
          <w:bCs/>
          <w:sz w:val="20"/>
          <w:szCs w:val="20"/>
        </w:rPr>
      </w:pPr>
      <w:r w:rsidRPr="001B0C4B">
        <w:rPr>
          <w:rFonts w:cs="Calibri"/>
          <w:bCs/>
          <w:sz w:val="18"/>
          <w:szCs w:val="18"/>
        </w:rPr>
        <w:t>Členovia komisie prehlasujú, že s obsahom zápisnice v plnej miere súhlasia.</w:t>
      </w:r>
    </w:p>
    <w:p w14:paraId="7B2E99A0" w14:textId="1228252C" w:rsidR="007118C3" w:rsidRPr="001B0C4B" w:rsidRDefault="007118C3" w:rsidP="00863DCB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B0C4B">
        <w:rPr>
          <w:rFonts w:cs="Calibri"/>
          <w:sz w:val="18"/>
          <w:szCs w:val="18"/>
        </w:rPr>
        <w:t>V Banskej Bystrici, dňa</w:t>
      </w:r>
      <w:r w:rsidR="00175C05">
        <w:rPr>
          <w:rFonts w:cs="Calibri"/>
          <w:sz w:val="18"/>
          <w:szCs w:val="18"/>
        </w:rPr>
        <w:t xml:space="preserve"> </w:t>
      </w:r>
      <w:r w:rsidR="00EA2539">
        <w:rPr>
          <w:rFonts w:cs="Calibri"/>
          <w:sz w:val="18"/>
          <w:szCs w:val="18"/>
        </w:rPr>
        <w:t>2</w:t>
      </w:r>
      <w:r w:rsidR="00EC1122">
        <w:rPr>
          <w:rFonts w:cs="Calibri"/>
          <w:sz w:val="18"/>
          <w:szCs w:val="18"/>
        </w:rPr>
        <w:t>9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D54CFB">
        <w:rPr>
          <w:rFonts w:cs="Calibri"/>
          <w:sz w:val="18"/>
          <w:szCs w:val="18"/>
        </w:rPr>
        <w:t>0</w:t>
      </w:r>
      <w:r w:rsidR="00EA2539">
        <w:rPr>
          <w:rFonts w:cs="Calibri"/>
          <w:sz w:val="18"/>
          <w:szCs w:val="18"/>
        </w:rPr>
        <w:t>4</w:t>
      </w:r>
      <w:r w:rsidR="003C2058">
        <w:rPr>
          <w:rFonts w:cs="Calibri"/>
          <w:sz w:val="18"/>
          <w:szCs w:val="18"/>
        </w:rPr>
        <w:t>.</w:t>
      </w:r>
      <w:r w:rsidR="00B6120C">
        <w:rPr>
          <w:rFonts w:cs="Calibri"/>
          <w:sz w:val="18"/>
          <w:szCs w:val="18"/>
        </w:rPr>
        <w:t xml:space="preserve"> </w:t>
      </w:r>
      <w:r w:rsidR="003C2058">
        <w:rPr>
          <w:rFonts w:cs="Calibri"/>
          <w:sz w:val="18"/>
          <w:szCs w:val="18"/>
        </w:rPr>
        <w:t>202</w:t>
      </w:r>
      <w:r w:rsidR="00D54CFB">
        <w:rPr>
          <w:rFonts w:cs="Calibri"/>
          <w:sz w:val="18"/>
          <w:szCs w:val="18"/>
        </w:rPr>
        <w:t>2</w:t>
      </w:r>
    </w:p>
    <w:p w14:paraId="45C87F84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37D0D67A" w14:textId="77777777" w:rsidR="007118C3" w:rsidRPr="001B0C4B" w:rsidRDefault="007118C3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  <w:r w:rsidRPr="001B0C4B">
        <w:rPr>
          <w:rFonts w:cs="Calibri"/>
          <w:bCs/>
          <w:sz w:val="18"/>
          <w:szCs w:val="18"/>
        </w:rPr>
        <w:t>Členovia komisie s právom vyhodnocovať ponuky:</w:t>
      </w:r>
    </w:p>
    <w:p w14:paraId="61C0D2E5" w14:textId="77777777" w:rsidR="00935ADE" w:rsidRPr="001B0C4B" w:rsidRDefault="00935ADE" w:rsidP="00863DCB">
      <w:pPr>
        <w:spacing w:after="0" w:line="240" w:lineRule="auto"/>
        <w:jc w:val="both"/>
        <w:rPr>
          <w:rFonts w:cs="Calibri"/>
          <w:bCs/>
          <w:sz w:val="18"/>
          <w:szCs w:val="18"/>
        </w:rPr>
      </w:pPr>
    </w:p>
    <w:p w14:paraId="0A19AD8C" w14:textId="7A85563C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bookmarkStart w:id="5" w:name="_Hlk85996863"/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Bc. Lucia Valent</w:t>
      </w: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odsúhlasené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elektronicky)</w:t>
      </w:r>
    </w:p>
    <w:p w14:paraId="162383AB" w14:textId="5C3C3E9A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bCs/>
          <w:sz w:val="20"/>
          <w:szCs w:val="20"/>
          <w:lang w:eastAsia="cs-CZ"/>
        </w:rPr>
        <w:t>Bc. Beáta Fulnečková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</w:p>
    <w:p w14:paraId="6B7EE640" w14:textId="0FEB0AC0" w:rsidR="00D54CFB" w:rsidRPr="00B66B69" w:rsidRDefault="00D54CFB" w:rsidP="00D54CF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20"/>
          <w:szCs w:val="20"/>
          <w:lang w:eastAsia="cs-CZ"/>
        </w:rPr>
      </w:pPr>
      <w:r w:rsidRPr="00B66B69">
        <w:rPr>
          <w:rFonts w:asciiTheme="minorHAnsi" w:eastAsia="Times New Roman" w:hAnsiTheme="minorHAnsi" w:cstheme="minorHAnsi"/>
          <w:b/>
          <w:sz w:val="20"/>
          <w:szCs w:val="20"/>
          <w:lang w:eastAsia="cs-CZ"/>
        </w:rPr>
        <w:t>Mgr. Jana Vašičková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ab/>
        <w:t>(</w:t>
      </w: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odsúhlase</w:t>
      </w:r>
      <w:r w:rsidRPr="00B66B69">
        <w:rPr>
          <w:rFonts w:asciiTheme="minorHAnsi" w:eastAsia="Times New Roman" w:hAnsiTheme="minorHAnsi" w:cstheme="minorHAnsi"/>
          <w:sz w:val="20"/>
          <w:szCs w:val="20"/>
          <w:lang w:eastAsia="cs-CZ"/>
        </w:rPr>
        <w:t>né elektronicky)</w:t>
      </w:r>
      <w:bookmarkEnd w:id="5"/>
    </w:p>
    <w:p w14:paraId="75BE60E8" w14:textId="77777777" w:rsidR="007118C3" w:rsidRPr="001B0C4B" w:rsidRDefault="007118C3" w:rsidP="00863DCB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398A862" w14:textId="3493B314" w:rsidR="000524E4" w:rsidRDefault="000524E4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</w:p>
    <w:p w14:paraId="2149C429" w14:textId="25F70DB9" w:rsidR="005D5521" w:rsidRDefault="005D5521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</w:p>
    <w:p w14:paraId="11D627DC" w14:textId="5FC3D87E" w:rsidR="005D5521" w:rsidRDefault="005D5521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</w:p>
    <w:p w14:paraId="7755551A" w14:textId="1FAEC5E7" w:rsidR="005D5521" w:rsidRDefault="005D5521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4"/>
        <w:gridCol w:w="1376"/>
        <w:gridCol w:w="1327"/>
        <w:gridCol w:w="1189"/>
        <w:gridCol w:w="1344"/>
      </w:tblGrid>
      <w:tr w:rsidR="005D5521" w:rsidRPr="005D5521" w14:paraId="049ABA7D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E4ECE9"/>
            <w:vAlign w:val="center"/>
            <w:hideMark/>
          </w:tcPr>
          <w:p w14:paraId="0FE08B5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lastRenderedPageBreak/>
              <w:t>Hodnotiace kritérium / Názov položky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000000" w:fill="E4ECE9"/>
            <w:vAlign w:val="center"/>
            <w:hideMark/>
          </w:tcPr>
          <w:p w14:paraId="344F724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Množstvo / Povaha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E4ECE9"/>
            <w:vAlign w:val="center"/>
            <w:hideMark/>
          </w:tcPr>
          <w:p w14:paraId="66E02BE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Jednotka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E4ECE9"/>
            <w:vAlign w:val="center"/>
            <w:hideMark/>
          </w:tcPr>
          <w:p w14:paraId="4100ADB5" w14:textId="77777777" w:rsidR="005D5521" w:rsidRPr="005D5521" w:rsidRDefault="005D5521" w:rsidP="005D5521">
            <w:pPr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Soldanus Group s.r.o.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E4ECE9"/>
            <w:vAlign w:val="center"/>
            <w:hideMark/>
          </w:tcPr>
          <w:p w14:paraId="5214D776" w14:textId="77777777" w:rsidR="005D5521" w:rsidRPr="005D5521" w:rsidRDefault="005D5521" w:rsidP="005D5521">
            <w:pPr>
              <w:autoSpaceDN/>
              <w:spacing w:after="0"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M-NOVOMAX-D s.r.o.</w:t>
            </w:r>
          </w:p>
        </w:tc>
      </w:tr>
      <w:tr w:rsidR="005D5521" w:rsidRPr="005D5521" w14:paraId="429188A4" w14:textId="77777777" w:rsidTr="005D5521">
        <w:trPr>
          <w:trHeight w:val="300"/>
          <w:jc w:val="center"/>
        </w:trPr>
        <w:tc>
          <w:tcPr>
            <w:tcW w:w="4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CF9FF"/>
            <w:vAlign w:val="center"/>
            <w:hideMark/>
          </w:tcPr>
          <w:p w14:paraId="3EF1011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Najnižšia cena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475C0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Cena s DPH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613C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Cena s DPH</w:t>
            </w:r>
          </w:p>
        </w:tc>
      </w:tr>
      <w:tr w:rsidR="005D5521" w:rsidRPr="005D5521" w14:paraId="715D8CA7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ECF9FF"/>
            <w:vAlign w:val="center"/>
            <w:hideMark/>
          </w:tcPr>
          <w:p w14:paraId="6433E32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CF9FF"/>
            <w:vAlign w:val="center"/>
            <w:hideMark/>
          </w:tcPr>
          <w:p w14:paraId="359D43E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>PHZ: 11000 EUR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6D41CEE0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12 659,99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53C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12 730,56</w:t>
            </w:r>
          </w:p>
        </w:tc>
      </w:tr>
      <w:tr w:rsidR="005D5521" w:rsidRPr="005D5521" w14:paraId="6C0D73BD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9D0D0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Bratislavké párky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C960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204,00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610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237F34D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C203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4,56</w:t>
            </w:r>
          </w:p>
        </w:tc>
      </w:tr>
      <w:tr w:rsidR="005D5521" w:rsidRPr="005D5521" w14:paraId="4311CDDF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E009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Bravčová šunka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50B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5EF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5436A45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742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6,24</w:t>
            </w:r>
          </w:p>
        </w:tc>
      </w:tr>
      <w:tr w:rsidR="005D5521" w:rsidRPr="005D5521" w14:paraId="1D868D63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3B09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Bravčová tlačenka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5CC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5586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3ECCCCF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01B5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16F43893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AD73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Bušinská klobása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76E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210,00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4384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646117F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18D3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5,88</w:t>
            </w:r>
          </w:p>
        </w:tc>
      </w:tr>
      <w:tr w:rsidR="005D5521" w:rsidRPr="005D5521" w14:paraId="02102A7E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B29F5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Bušinský ščipák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6B9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CE2D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7E07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483A5D0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367914C9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ADFC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Cesnaková klobása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8352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D0CA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9F4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4809AE8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4,08</w:t>
            </w:r>
          </w:p>
        </w:tc>
      </w:tr>
      <w:tr w:rsidR="005D5521" w:rsidRPr="005D5521" w14:paraId="45F3DC94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F2F25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Čingovská saláma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8D4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25,00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80F9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321BF6F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5,22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D4D85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076A6098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1FDF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Debrecínska šunka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8012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557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454C519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3A62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6,24</w:t>
            </w:r>
          </w:p>
        </w:tc>
      </w:tr>
      <w:tr w:rsidR="005D5521" w:rsidRPr="005D5521" w14:paraId="59B43DEC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857B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Detvianske párky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358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6A10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64FB88F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2514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6,24</w:t>
            </w:r>
          </w:p>
        </w:tc>
      </w:tr>
      <w:tr w:rsidR="005D5521" w:rsidRPr="005D5521" w14:paraId="35756E0B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8649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Diétna saláma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8F21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C3D6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4E7BE16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3,72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3B9A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4,56</w:t>
            </w:r>
          </w:p>
        </w:tc>
      </w:tr>
      <w:tr w:rsidR="005D5521" w:rsidRPr="005D5521" w14:paraId="05A23078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B6EF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Gazdovská klobása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FBC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80,00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6CE3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73830F4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D8F6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5,88</w:t>
            </w:r>
          </w:p>
        </w:tc>
      </w:tr>
      <w:tr w:rsidR="005D5521" w:rsidRPr="005D5521" w14:paraId="48DDB671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A0FD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Hydinová tlačenka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F417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443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37984DF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4,50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2E23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5,40</w:t>
            </w:r>
          </w:p>
        </w:tc>
      </w:tr>
      <w:tr w:rsidR="005D5521" w:rsidRPr="005D5521" w14:paraId="3CC66759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F20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Inovecká saláma 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ED73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CBA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43496C2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5,22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64EB5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1E863F0E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782E5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Inovecká saláma 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5628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2D9D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3C6C21C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5,22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81E1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45C799BB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DBD80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Jaternice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BA0E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105,00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9A49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C6F20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3,98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01200E0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3,84</w:t>
            </w:r>
          </w:p>
        </w:tc>
      </w:tr>
      <w:tr w:rsidR="005D5521" w:rsidRPr="005D5521" w14:paraId="7C9449A1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17DB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Klobása trvanlivá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FBDA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6F8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5C0FC4D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05A4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7,80</w:t>
            </w:r>
          </w:p>
        </w:tc>
      </w:tr>
      <w:tr w:rsidR="005D5521" w:rsidRPr="005D5521" w14:paraId="6FEA9C07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9EA5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Liptovská saláma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153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4FF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5403B6E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4,14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C06B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4,68</w:t>
            </w:r>
          </w:p>
        </w:tc>
      </w:tr>
      <w:tr w:rsidR="005D5521" w:rsidRPr="005D5521" w14:paraId="0C57AA0D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0BAE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Lunch meat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FA54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14,00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59CA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6FC8255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3,84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E211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4,68</w:t>
            </w:r>
          </w:p>
        </w:tc>
      </w:tr>
      <w:tr w:rsidR="005D5521" w:rsidRPr="005D5521" w14:paraId="1320C8F9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3679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Malokarpatská saláma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A3F3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31,00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B4C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C9AF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7,07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69022A6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6,24</w:t>
            </w:r>
          </w:p>
        </w:tc>
      </w:tr>
      <w:tr w:rsidR="005D5521" w:rsidRPr="005D5521" w14:paraId="0F5AF130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AA3F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Moravské mäso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20F3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E261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53D919C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6,12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A8B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7,68</w:t>
            </w:r>
          </w:p>
        </w:tc>
      </w:tr>
      <w:tr w:rsidR="005D5521" w:rsidRPr="005D5521" w14:paraId="46394E43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723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Nitran saláma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16F2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2672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85F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7,07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279CD23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6,24</w:t>
            </w:r>
          </w:p>
        </w:tc>
      </w:tr>
      <w:tr w:rsidR="005D5521" w:rsidRPr="005D5521" w14:paraId="4320B755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C48B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Obyčajné párky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E6F4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138,00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6FC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1CCD15E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3,84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65B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4,56</w:t>
            </w:r>
          </w:p>
        </w:tc>
      </w:tr>
      <w:tr w:rsidR="005D5521" w:rsidRPr="005D5521" w14:paraId="344111A1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04E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Oravská slanina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71EA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F0B5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16E2BDF5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201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5,40</w:t>
            </w:r>
          </w:p>
        </w:tc>
      </w:tr>
      <w:tr w:rsidR="005D5521" w:rsidRPr="005D5521" w14:paraId="70B43693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E251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Oškvarky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571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25,00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091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83A2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10,42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6E9BF93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5,88</w:t>
            </w:r>
          </w:p>
        </w:tc>
      </w:tr>
      <w:tr w:rsidR="005D5521" w:rsidRPr="005D5521" w14:paraId="61DB221F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9AD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Paprikový bôčik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60FA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4523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DC7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5433CA0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716DDA8A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8F17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Parizer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C21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135,00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9A2C0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59B0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2F086DE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4,68</w:t>
            </w:r>
          </w:p>
        </w:tc>
      </w:tr>
      <w:tr w:rsidR="005D5521" w:rsidRPr="005D5521" w14:paraId="4B0E9629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5CEE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Párková klobása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E533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A8D9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5067A1D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3,59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AA5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5,40</w:t>
            </w:r>
          </w:p>
        </w:tc>
      </w:tr>
      <w:tr w:rsidR="005D5521" w:rsidRPr="005D5521" w14:paraId="1E5EB0DF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3727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Saláma so syrom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B3BA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24,00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9D7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1AEE9F7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3,84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986A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6,96</w:t>
            </w:r>
          </w:p>
        </w:tc>
      </w:tr>
      <w:tr w:rsidR="005D5521" w:rsidRPr="005D5521" w14:paraId="3EB74A0F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4217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Sliačska saláma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3E25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DC5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09756F5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3,84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461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4,68</w:t>
            </w:r>
          </w:p>
        </w:tc>
      </w:tr>
      <w:tr w:rsidR="005D5521" w:rsidRPr="005D5521" w14:paraId="293BAC7C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0E99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Spišácke párky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EB61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DDC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21480445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3,84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890E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268C4240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DE3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Strážovská saláma 1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E0DF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BA8A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741217A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A38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4301F07C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6459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Strážovská saláma 2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9E3B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CBC0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65F5656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02CC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69AF58FD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8F00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Škvarená bravčová masť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1D78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135,00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334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430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3,00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185400C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2,64</w:t>
            </w:r>
          </w:p>
        </w:tc>
      </w:tr>
      <w:tr w:rsidR="005D5521" w:rsidRPr="005D5521" w14:paraId="1B671BE7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5DBA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Škvarky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90F55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DEC0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5CB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9,72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0D2339A5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5,88</w:t>
            </w:r>
          </w:p>
        </w:tc>
      </w:tr>
      <w:tr w:rsidR="005D5521" w:rsidRPr="005D5521" w14:paraId="76660741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61FC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Špekačky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956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174,00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63E0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43F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4,79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6E16A93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4,56</w:t>
            </w:r>
          </w:p>
        </w:tc>
      </w:tr>
      <w:tr w:rsidR="005D5521" w:rsidRPr="005D5521" w14:paraId="6F998397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410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Štart saláma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8591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FE13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0E8FC47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1AA2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6,24</w:t>
            </w:r>
          </w:p>
        </w:tc>
      </w:tr>
      <w:tr w:rsidR="005D5521" w:rsidRPr="005D5521" w14:paraId="1CCB858D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277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Šunka štandard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A25D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F9A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6AC782C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199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62FFD247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F3CB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Šunkový nárez zo stehna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8A500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C22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AFAC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6,59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06E38F5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5,28</w:t>
            </w:r>
          </w:p>
        </w:tc>
      </w:tr>
      <w:tr w:rsidR="005D5521" w:rsidRPr="005D5521" w14:paraId="119B6083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D26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Turista saláma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50E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25,00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F755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3794CEF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49D1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  <w:tr w:rsidR="005D5521" w:rsidRPr="005D5521" w14:paraId="3BB4BB58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23D50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Údená bravčová slanina s kožou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6D09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140,00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E443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B034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4,98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0B0AE30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4,08</w:t>
            </w:r>
          </w:p>
        </w:tc>
      </w:tr>
      <w:tr w:rsidR="005D5521" w:rsidRPr="005D5521" w14:paraId="0FDF0882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3E81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lastRenderedPageBreak/>
              <w:t>Údená Gazdovská slanina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BEBB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E7CC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F26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7,80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17721D6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6,72</w:t>
            </w:r>
          </w:p>
        </w:tc>
      </w:tr>
      <w:tr w:rsidR="005D5521" w:rsidRPr="005D5521" w14:paraId="31B0F0B9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6220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Údená krkovička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3D58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128,00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3B9C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7B9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7,20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0B64B64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5,04</w:t>
            </w:r>
          </w:p>
        </w:tc>
      </w:tr>
      <w:tr w:rsidR="005D5521" w:rsidRPr="005D5521" w14:paraId="1BE4BAC0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FAE8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Údené koleno zadné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6D87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B374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3934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5,40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2005DC6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4,68</w:t>
            </w:r>
          </w:p>
        </w:tc>
      </w:tr>
      <w:tr w:rsidR="005D5521" w:rsidRPr="005D5521" w14:paraId="4E3D9F27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2A19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Údené plece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CC7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9A5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2D74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5,99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13696B1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5,04</w:t>
            </w:r>
          </w:p>
        </w:tc>
      </w:tr>
      <w:tr w:rsidR="005D5521" w:rsidRPr="005D5521" w14:paraId="0578FF74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F808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Údené rebro hrubé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34B7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55,00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3989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4F7253D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4,56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83227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5,28</w:t>
            </w:r>
          </w:p>
        </w:tc>
      </w:tr>
      <w:tr w:rsidR="005D5521" w:rsidRPr="005D5521" w14:paraId="35C32D80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CAD3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Údené rebro tenké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E6ABA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1478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28F2A7DE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0,00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EB99B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4,80</w:t>
            </w:r>
          </w:p>
        </w:tc>
      </w:tr>
      <w:tr w:rsidR="005D5521" w:rsidRPr="005D5521" w14:paraId="6FCA9ACE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583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Údené stehno s kožou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7672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20,00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DA5B1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A4C9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7,20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08884BA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5,88</w:t>
            </w:r>
          </w:p>
        </w:tc>
      </w:tr>
      <w:tr w:rsidR="005D5521" w:rsidRPr="005D5521" w14:paraId="24E321A4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1D4E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Viedenské párky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2B7A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71E8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AD53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5,52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1BC30D54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5,40</w:t>
            </w:r>
          </w:p>
        </w:tc>
      </w:tr>
      <w:tr w:rsidR="005D5521" w:rsidRPr="005D5521" w14:paraId="5289B239" w14:textId="77777777" w:rsidTr="005D5521">
        <w:trPr>
          <w:trHeight w:val="300"/>
          <w:jc w:val="center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E470D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Vysočina saláma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9996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30,00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DD7F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>kg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07FC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0"/>
              <w:jc w:val="right"/>
              <w:textAlignment w:val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sk-SK"/>
              </w:rPr>
              <w:t xml:space="preserve">    6,42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000000" w:fill="FFEBB4"/>
            <w:vAlign w:val="center"/>
            <w:hideMark/>
          </w:tcPr>
          <w:p w14:paraId="6BBD26E3" w14:textId="77777777" w:rsidR="005D5521" w:rsidRPr="005D5521" w:rsidRDefault="005D5521" w:rsidP="005D5521">
            <w:pPr>
              <w:autoSpaceDN/>
              <w:spacing w:after="0" w:line="240" w:lineRule="auto"/>
              <w:ind w:firstLineChars="100" w:firstLine="201"/>
              <w:jc w:val="right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5D5521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  <w:t xml:space="preserve">    5,76</w:t>
            </w:r>
          </w:p>
        </w:tc>
      </w:tr>
    </w:tbl>
    <w:p w14:paraId="0EEAE159" w14:textId="77777777" w:rsidR="005D5521" w:rsidRPr="001B0C4B" w:rsidRDefault="005D5521" w:rsidP="00863DCB">
      <w:pPr>
        <w:pStyle w:val="Normlny1"/>
        <w:suppressAutoHyphens w:val="0"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sz w:val="18"/>
          <w:szCs w:val="18"/>
          <w:lang w:eastAsia="cs-CZ"/>
        </w:rPr>
      </w:pPr>
    </w:p>
    <w:sectPr w:rsidR="005D5521" w:rsidRPr="001B0C4B" w:rsidSect="000C2A53">
      <w:headerReference w:type="first" r:id="rId8"/>
      <w:footerReference w:type="first" r:id="rId9"/>
      <w:pgSz w:w="11906" w:h="16838"/>
      <w:pgMar w:top="1135" w:right="1417" w:bottom="1135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BA4E" w14:textId="77777777" w:rsidR="006F7D83" w:rsidRDefault="006F7D83">
      <w:pPr>
        <w:spacing w:after="0" w:line="240" w:lineRule="auto"/>
      </w:pPr>
      <w:r>
        <w:separator/>
      </w:r>
    </w:p>
  </w:endnote>
  <w:endnote w:type="continuationSeparator" w:id="0">
    <w:p w14:paraId="347BCFE2" w14:textId="77777777" w:rsidR="006F7D83" w:rsidRDefault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30E6" w14:textId="77777777" w:rsidR="003B623D" w:rsidRDefault="003B623D" w:rsidP="003B623D">
    <w:r>
      <w:t>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802"/>
      <w:gridCol w:w="1498"/>
      <w:gridCol w:w="1719"/>
      <w:gridCol w:w="2167"/>
      <w:gridCol w:w="1778"/>
    </w:tblGrid>
    <w:tr w:rsidR="00055ED9" w:rsidRPr="006579B3" w14:paraId="26BC75BD" w14:textId="77777777" w:rsidTr="00243E38">
      <w:tc>
        <w:tcPr>
          <w:tcW w:w="1920" w:type="dxa"/>
          <w:shd w:val="clear" w:color="auto" w:fill="auto"/>
        </w:tcPr>
        <w:p w14:paraId="2BECEBF4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3B24C7FB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0D18C7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14:paraId="0ABB47A3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4DB7FEF2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055ED9" w:rsidRPr="006579B3" w14:paraId="07FEBB2B" w14:textId="77777777" w:rsidTr="00243E38">
      <w:trPr>
        <w:trHeight w:val="220"/>
      </w:trPr>
      <w:tc>
        <w:tcPr>
          <w:tcW w:w="1920" w:type="dxa"/>
          <w:shd w:val="clear" w:color="auto" w:fill="auto"/>
        </w:tcPr>
        <w:p w14:paraId="26FD95C0" w14:textId="77777777" w:rsidR="003B623D" w:rsidRPr="006579B3" w:rsidRDefault="003B623D" w:rsidP="001445E1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055ED9">
            <w:rPr>
              <w:sz w:val="18"/>
              <w:szCs w:val="18"/>
            </w:rPr>
            <w:t>647</w:t>
          </w:r>
        </w:p>
      </w:tc>
      <w:tc>
        <w:tcPr>
          <w:tcW w:w="1701" w:type="dxa"/>
          <w:shd w:val="clear" w:color="auto" w:fill="auto"/>
        </w:tcPr>
        <w:p w14:paraId="6966A22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21682709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14:paraId="33AE4ED3" w14:textId="77777777" w:rsidR="003B623D" w:rsidRPr="001445E1" w:rsidRDefault="00055ED9" w:rsidP="003B623D">
          <w:pPr>
            <w:pStyle w:val="Pta"/>
            <w:rPr>
              <w:sz w:val="20"/>
              <w:szCs w:val="20"/>
            </w:rPr>
          </w:pPr>
          <w:r>
            <w:rPr>
              <w:sz w:val="20"/>
              <w:szCs w:val="20"/>
            </w:rPr>
            <w:t>jana.vasickova</w:t>
          </w:r>
          <w:r w:rsidR="003B623D" w:rsidRPr="001445E1">
            <w:rPr>
              <w:sz w:val="20"/>
              <w:szCs w:val="20"/>
            </w:rPr>
            <w:t>@bbsk.sk</w:t>
          </w:r>
        </w:p>
      </w:tc>
      <w:tc>
        <w:tcPr>
          <w:tcW w:w="1894" w:type="dxa"/>
          <w:shd w:val="clear" w:color="auto" w:fill="auto"/>
        </w:tcPr>
        <w:p w14:paraId="4112C43A" w14:textId="77777777" w:rsidR="003B623D" w:rsidRPr="006579B3" w:rsidRDefault="003B623D" w:rsidP="003B623D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14:paraId="525F08C8" w14:textId="77777777" w:rsidR="00C5009F" w:rsidRPr="003B623D" w:rsidRDefault="00C5009F" w:rsidP="003B623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07412" w14:textId="77777777" w:rsidR="006F7D83" w:rsidRDefault="006F7D8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A40675" w14:textId="77777777" w:rsidR="006F7D83" w:rsidRDefault="006F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38785" w14:textId="77777777" w:rsidR="003B623D" w:rsidRDefault="000524E4" w:rsidP="003B623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59776" behindDoc="1" locked="0" layoutInCell="1" allowOverlap="0" wp14:anchorId="0453D97A" wp14:editId="1FCABD64">
          <wp:simplePos x="0" y="0"/>
          <wp:positionH relativeFrom="column">
            <wp:posOffset>67310</wp:posOffset>
          </wp:positionH>
          <wp:positionV relativeFrom="paragraph">
            <wp:posOffset>34290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" name="Obrázok 10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1B1E"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0" wp14:anchorId="3FD07547" wp14:editId="3B2FF75D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318B12" w14:textId="77777777" w:rsidR="003B623D" w:rsidRPr="00C71267" w:rsidRDefault="003B623D" w:rsidP="003B623D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71267">
                            <w:rPr>
                              <w:b/>
                              <w:spacing w:val="6"/>
                              <w:sz w:val="28"/>
                              <w:szCs w:val="28"/>
                            </w:rPr>
                            <w:t xml:space="preserve">BANSKOBYSTRICKÝ </w:t>
                          </w:r>
                          <w:r w:rsidRPr="00C71267">
                            <w:rPr>
                              <w:sz w:val="28"/>
                              <w:szCs w:val="28"/>
                            </w:rPr>
                            <w:t>SAMOSPRÁVNY KRAJ</w:t>
                          </w:r>
                        </w:p>
                        <w:p w14:paraId="19B0F4AD" w14:textId="77777777" w:rsidR="003B623D" w:rsidRPr="00353691" w:rsidRDefault="003B623D" w:rsidP="003B623D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0754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" o:allowoverlap="f" filled="f" stroked="f">
              <v:textbox>
                <w:txbxContent>
                  <w:p w14:paraId="3A318B12" w14:textId="77777777" w:rsidR="003B623D" w:rsidRPr="00C71267" w:rsidRDefault="003B623D" w:rsidP="003B623D">
                    <w:pPr>
                      <w:rPr>
                        <w:sz w:val="28"/>
                        <w:szCs w:val="28"/>
                      </w:rPr>
                    </w:pPr>
                    <w:r w:rsidRPr="00C71267">
                      <w:rPr>
                        <w:b/>
                        <w:spacing w:val="6"/>
                        <w:sz w:val="28"/>
                        <w:szCs w:val="28"/>
                      </w:rPr>
                      <w:t xml:space="preserve">BANSKOBYSTRICKÝ </w:t>
                    </w:r>
                    <w:r w:rsidRPr="00C71267">
                      <w:rPr>
                        <w:sz w:val="28"/>
                        <w:szCs w:val="28"/>
                      </w:rPr>
                      <w:t>SAMOSPRÁVNY KRAJ</w:t>
                    </w:r>
                  </w:p>
                  <w:p w14:paraId="19B0F4AD" w14:textId="77777777" w:rsidR="003B623D" w:rsidRPr="00353691" w:rsidRDefault="003B623D" w:rsidP="003B623D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6269984" w14:textId="5CC162C0" w:rsidR="00B70F30" w:rsidRDefault="003B623D" w:rsidP="00172B9D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172B9D">
      <w:rPr>
        <w:rFonts w:cs="Arial"/>
      </w:rPr>
      <w:t>Námestie SNP 23</w:t>
    </w:r>
  </w:p>
  <w:p w14:paraId="51DC2D20" w14:textId="77777777" w:rsidR="003B623D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14:paraId="06BC0C1B" w14:textId="77777777" w:rsidR="003B623D" w:rsidRPr="005028BF" w:rsidRDefault="003B623D" w:rsidP="003B623D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  <w:p w14:paraId="7729155D" w14:textId="77777777" w:rsidR="00812DB6" w:rsidRPr="003B623D" w:rsidRDefault="00812DB6" w:rsidP="003B623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02B5E"/>
    <w:multiLevelType w:val="hybridMultilevel"/>
    <w:tmpl w:val="D800325E"/>
    <w:lvl w:ilvl="0" w:tplc="31306DE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6F26CBC"/>
    <w:multiLevelType w:val="hybridMultilevel"/>
    <w:tmpl w:val="82A0DBE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153"/>
    <w:multiLevelType w:val="hybridMultilevel"/>
    <w:tmpl w:val="B2EECA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B666E"/>
    <w:multiLevelType w:val="hybridMultilevel"/>
    <w:tmpl w:val="B9ACB4EE"/>
    <w:lvl w:ilvl="0" w:tplc="90020D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00B67"/>
    <w:multiLevelType w:val="hybridMultilevel"/>
    <w:tmpl w:val="6AA46E3E"/>
    <w:lvl w:ilvl="0" w:tplc="D3D4E36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B7615"/>
    <w:multiLevelType w:val="multilevel"/>
    <w:tmpl w:val="A860E5D8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578368754">
    <w:abstractNumId w:val="5"/>
  </w:num>
  <w:num w:numId="2" w16cid:durableId="1425372802">
    <w:abstractNumId w:val="4"/>
  </w:num>
  <w:num w:numId="3" w16cid:durableId="1615863088">
    <w:abstractNumId w:val="3"/>
  </w:num>
  <w:num w:numId="4" w16cid:durableId="1778328661">
    <w:abstractNumId w:val="2"/>
  </w:num>
  <w:num w:numId="5" w16cid:durableId="599528734">
    <w:abstractNumId w:val="0"/>
  </w:num>
  <w:num w:numId="6" w16cid:durableId="9616185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0F"/>
    <w:rsid w:val="000015EA"/>
    <w:rsid w:val="00016908"/>
    <w:rsid w:val="00022541"/>
    <w:rsid w:val="00030512"/>
    <w:rsid w:val="00035B8D"/>
    <w:rsid w:val="00036E62"/>
    <w:rsid w:val="00051414"/>
    <w:rsid w:val="00051B58"/>
    <w:rsid w:val="000524E4"/>
    <w:rsid w:val="00055ED9"/>
    <w:rsid w:val="000660B7"/>
    <w:rsid w:val="00097F64"/>
    <w:rsid w:val="000A51A3"/>
    <w:rsid w:val="000C2A53"/>
    <w:rsid w:val="000C6468"/>
    <w:rsid w:val="000E1CCB"/>
    <w:rsid w:val="000E26E4"/>
    <w:rsid w:val="000F3576"/>
    <w:rsid w:val="0010140B"/>
    <w:rsid w:val="00125EC8"/>
    <w:rsid w:val="001445E1"/>
    <w:rsid w:val="001451A9"/>
    <w:rsid w:val="0016334B"/>
    <w:rsid w:val="00172B9D"/>
    <w:rsid w:val="00175C05"/>
    <w:rsid w:val="00185D63"/>
    <w:rsid w:val="001931B3"/>
    <w:rsid w:val="00196245"/>
    <w:rsid w:val="001B0C4B"/>
    <w:rsid w:val="001B660B"/>
    <w:rsid w:val="001C0F26"/>
    <w:rsid w:val="001E2B04"/>
    <w:rsid w:val="00206602"/>
    <w:rsid w:val="0021655C"/>
    <w:rsid w:val="00267D23"/>
    <w:rsid w:val="00282929"/>
    <w:rsid w:val="002A7E3A"/>
    <w:rsid w:val="002B0AD0"/>
    <w:rsid w:val="002B0BD7"/>
    <w:rsid w:val="002B1CFB"/>
    <w:rsid w:val="002B7C13"/>
    <w:rsid w:val="002C4765"/>
    <w:rsid w:val="002D7057"/>
    <w:rsid w:val="00307D63"/>
    <w:rsid w:val="00307FE8"/>
    <w:rsid w:val="00316457"/>
    <w:rsid w:val="003266C9"/>
    <w:rsid w:val="0033519F"/>
    <w:rsid w:val="0033532A"/>
    <w:rsid w:val="00335CE3"/>
    <w:rsid w:val="003459A8"/>
    <w:rsid w:val="00357BB5"/>
    <w:rsid w:val="003724B3"/>
    <w:rsid w:val="003B1597"/>
    <w:rsid w:val="003B2493"/>
    <w:rsid w:val="003B623D"/>
    <w:rsid w:val="003B65EF"/>
    <w:rsid w:val="003C2058"/>
    <w:rsid w:val="003E2240"/>
    <w:rsid w:val="003E5F18"/>
    <w:rsid w:val="00412875"/>
    <w:rsid w:val="004210B6"/>
    <w:rsid w:val="00427DA5"/>
    <w:rsid w:val="004349D0"/>
    <w:rsid w:val="00435C99"/>
    <w:rsid w:val="00436583"/>
    <w:rsid w:val="0046487F"/>
    <w:rsid w:val="00470FDB"/>
    <w:rsid w:val="00480E25"/>
    <w:rsid w:val="004824B0"/>
    <w:rsid w:val="00483093"/>
    <w:rsid w:val="00484D4F"/>
    <w:rsid w:val="004B1DF4"/>
    <w:rsid w:val="004B48F7"/>
    <w:rsid w:val="004D408E"/>
    <w:rsid w:val="004F575E"/>
    <w:rsid w:val="00510EE3"/>
    <w:rsid w:val="00554DDE"/>
    <w:rsid w:val="0059120F"/>
    <w:rsid w:val="005C7197"/>
    <w:rsid w:val="005D0878"/>
    <w:rsid w:val="005D2530"/>
    <w:rsid w:val="005D5521"/>
    <w:rsid w:val="005E0B4E"/>
    <w:rsid w:val="005E4D99"/>
    <w:rsid w:val="005E630D"/>
    <w:rsid w:val="005F1EF6"/>
    <w:rsid w:val="005F2281"/>
    <w:rsid w:val="00627877"/>
    <w:rsid w:val="006406DF"/>
    <w:rsid w:val="006A4970"/>
    <w:rsid w:val="006B5FB7"/>
    <w:rsid w:val="006B61C2"/>
    <w:rsid w:val="006D2B57"/>
    <w:rsid w:val="006D58B2"/>
    <w:rsid w:val="006F2D5E"/>
    <w:rsid w:val="006F3899"/>
    <w:rsid w:val="006F7D83"/>
    <w:rsid w:val="007118C3"/>
    <w:rsid w:val="0071239F"/>
    <w:rsid w:val="0072404C"/>
    <w:rsid w:val="007359A1"/>
    <w:rsid w:val="00743A58"/>
    <w:rsid w:val="00743ADF"/>
    <w:rsid w:val="007456CC"/>
    <w:rsid w:val="00757269"/>
    <w:rsid w:val="0078299D"/>
    <w:rsid w:val="0078636E"/>
    <w:rsid w:val="007A0581"/>
    <w:rsid w:val="007A75C7"/>
    <w:rsid w:val="007B5FA4"/>
    <w:rsid w:val="007C1A49"/>
    <w:rsid w:val="007E56D7"/>
    <w:rsid w:val="007F6C77"/>
    <w:rsid w:val="00812DB6"/>
    <w:rsid w:val="00814DA6"/>
    <w:rsid w:val="00815AB7"/>
    <w:rsid w:val="00824A9D"/>
    <w:rsid w:val="0083090B"/>
    <w:rsid w:val="00835C73"/>
    <w:rsid w:val="008532C4"/>
    <w:rsid w:val="00863DCB"/>
    <w:rsid w:val="00864C1F"/>
    <w:rsid w:val="00876BC0"/>
    <w:rsid w:val="008A147D"/>
    <w:rsid w:val="008A6FCA"/>
    <w:rsid w:val="008A7421"/>
    <w:rsid w:val="008B38D7"/>
    <w:rsid w:val="009254C8"/>
    <w:rsid w:val="009302EF"/>
    <w:rsid w:val="00935ADE"/>
    <w:rsid w:val="009542B1"/>
    <w:rsid w:val="00961DDF"/>
    <w:rsid w:val="009814BB"/>
    <w:rsid w:val="00985462"/>
    <w:rsid w:val="009B2C10"/>
    <w:rsid w:val="009C2C99"/>
    <w:rsid w:val="009D3B1A"/>
    <w:rsid w:val="009F6406"/>
    <w:rsid w:val="00A03B80"/>
    <w:rsid w:val="00A17E44"/>
    <w:rsid w:val="00A34697"/>
    <w:rsid w:val="00A348C2"/>
    <w:rsid w:val="00A42EDD"/>
    <w:rsid w:val="00A45520"/>
    <w:rsid w:val="00A514E1"/>
    <w:rsid w:val="00A60B21"/>
    <w:rsid w:val="00A67CE3"/>
    <w:rsid w:val="00A7036A"/>
    <w:rsid w:val="00A73059"/>
    <w:rsid w:val="00AB33D3"/>
    <w:rsid w:val="00AD2357"/>
    <w:rsid w:val="00AE0D7D"/>
    <w:rsid w:val="00AE38B1"/>
    <w:rsid w:val="00B0725E"/>
    <w:rsid w:val="00B45190"/>
    <w:rsid w:val="00B464FA"/>
    <w:rsid w:val="00B504AE"/>
    <w:rsid w:val="00B6120C"/>
    <w:rsid w:val="00B70F30"/>
    <w:rsid w:val="00B7715A"/>
    <w:rsid w:val="00B819E3"/>
    <w:rsid w:val="00B91513"/>
    <w:rsid w:val="00B92E7D"/>
    <w:rsid w:val="00BA7997"/>
    <w:rsid w:val="00BA7E64"/>
    <w:rsid w:val="00BB1197"/>
    <w:rsid w:val="00BB3C2B"/>
    <w:rsid w:val="00BC7DD9"/>
    <w:rsid w:val="00BD50DD"/>
    <w:rsid w:val="00BF35B4"/>
    <w:rsid w:val="00BF6A6F"/>
    <w:rsid w:val="00C035C2"/>
    <w:rsid w:val="00C13CED"/>
    <w:rsid w:val="00C16D59"/>
    <w:rsid w:val="00C3470A"/>
    <w:rsid w:val="00C5009F"/>
    <w:rsid w:val="00C547FC"/>
    <w:rsid w:val="00C55332"/>
    <w:rsid w:val="00C71267"/>
    <w:rsid w:val="00C83E61"/>
    <w:rsid w:val="00CC4DE9"/>
    <w:rsid w:val="00CC7E1B"/>
    <w:rsid w:val="00CD4A3F"/>
    <w:rsid w:val="00CF2407"/>
    <w:rsid w:val="00D043CC"/>
    <w:rsid w:val="00D30182"/>
    <w:rsid w:val="00D33371"/>
    <w:rsid w:val="00D41825"/>
    <w:rsid w:val="00D448E8"/>
    <w:rsid w:val="00D50227"/>
    <w:rsid w:val="00D54CFB"/>
    <w:rsid w:val="00D576EC"/>
    <w:rsid w:val="00D86266"/>
    <w:rsid w:val="00DA5146"/>
    <w:rsid w:val="00DF1380"/>
    <w:rsid w:val="00DF4213"/>
    <w:rsid w:val="00E1618A"/>
    <w:rsid w:val="00E601FA"/>
    <w:rsid w:val="00E65F1C"/>
    <w:rsid w:val="00E703B1"/>
    <w:rsid w:val="00E96F53"/>
    <w:rsid w:val="00EA1B1E"/>
    <w:rsid w:val="00EA2539"/>
    <w:rsid w:val="00EB4CB3"/>
    <w:rsid w:val="00EC1122"/>
    <w:rsid w:val="00ED2BBB"/>
    <w:rsid w:val="00EE022C"/>
    <w:rsid w:val="00EE66B4"/>
    <w:rsid w:val="00F06669"/>
    <w:rsid w:val="00F175F4"/>
    <w:rsid w:val="00F22CDF"/>
    <w:rsid w:val="00F32690"/>
    <w:rsid w:val="00F93EF4"/>
    <w:rsid w:val="00F95FD8"/>
    <w:rsid w:val="00FA031B"/>
    <w:rsid w:val="00FC1986"/>
    <w:rsid w:val="00FC689F"/>
    <w:rsid w:val="00FD405D"/>
    <w:rsid w:val="00FF52AA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1B3B716"/>
  <w15:docId w15:val="{DCA28C22-1DEC-42B1-B83B-65353A0C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5E4D99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5E4D99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customStyle="1" w:styleId="Predvolenpsmoodseku1">
    <w:name w:val="Predvolené písmo odseku1"/>
    <w:rsid w:val="005E4D99"/>
  </w:style>
  <w:style w:type="paragraph" w:styleId="Hlavika">
    <w:name w:val="header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Predvolenpsmoodseku1"/>
    <w:rsid w:val="005E4D99"/>
  </w:style>
  <w:style w:type="paragraph" w:styleId="Pta">
    <w:name w:val="footer"/>
    <w:basedOn w:val="Normlny1"/>
    <w:uiPriority w:val="99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Predvolenpsmoodseku1"/>
    <w:rsid w:val="005E4D99"/>
  </w:style>
  <w:style w:type="paragraph" w:customStyle="1" w:styleId="tl1">
    <w:name w:val="Štýl1"/>
    <w:basedOn w:val="Normlny1"/>
    <w:rsid w:val="005E4D99"/>
    <w:pPr>
      <w:suppressAutoHyphens w:val="0"/>
      <w:spacing w:after="0" w:line="240" w:lineRule="auto"/>
      <w:jc w:val="both"/>
      <w:textAlignment w:val="auto"/>
    </w:pPr>
    <w:rPr>
      <w:rFonts w:ascii="Tahoma" w:eastAsia="Times New Roman" w:hAnsi="Tahoma" w:cs="Tahoma"/>
      <w:sz w:val="18"/>
      <w:szCs w:val="18"/>
      <w:lang w:eastAsia="sk-SK"/>
    </w:rPr>
  </w:style>
  <w:style w:type="paragraph" w:customStyle="1" w:styleId="Hlavika1">
    <w:name w:val="Hlavičk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1"/>
    <w:rsid w:val="005E4D99"/>
  </w:style>
  <w:style w:type="paragraph" w:customStyle="1" w:styleId="Pta1">
    <w:name w:val="Päta1"/>
    <w:basedOn w:val="Normlny1"/>
    <w:rsid w:val="005E4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1"/>
    <w:uiPriority w:val="99"/>
    <w:rsid w:val="005E4D99"/>
  </w:style>
  <w:style w:type="character" w:styleId="Odkaznakomentr">
    <w:name w:val="annotation reference"/>
    <w:uiPriority w:val="99"/>
    <w:semiHidden/>
    <w:unhideWhenUsed/>
    <w:rsid w:val="00E65F1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65F1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E65F1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5F1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65F1C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5F1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5F1C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y"/>
    <w:link w:val="ZkladntextChar"/>
    <w:uiPriority w:val="99"/>
    <w:rsid w:val="00F93EF4"/>
    <w:pPr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ZkladntextChar">
    <w:name w:val="Základný text Char"/>
    <w:link w:val="Zkladntext"/>
    <w:uiPriority w:val="99"/>
    <w:rsid w:val="00F93EF4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03B80"/>
    <w:pPr>
      <w:autoSpaceDE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customStyle="1" w:styleId="OdsekzoznamuChar">
    <w:name w:val="Odsek zoznamu Char"/>
    <w:aliases w:val="body Char,Odsek zoznamu2 Char,List Paragraph Char,Odsek Char"/>
    <w:link w:val="Odsekzoznamu"/>
    <w:uiPriority w:val="1"/>
    <w:locked/>
    <w:rsid w:val="007118C3"/>
    <w:rPr>
      <w:sz w:val="22"/>
      <w:szCs w:val="22"/>
      <w:lang w:eastAsia="ar-SA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7118C3"/>
    <w:pPr>
      <w:suppressAutoHyphens/>
      <w:autoSpaceDN/>
      <w:ind w:left="720"/>
      <w:contextualSpacing/>
      <w:textAlignment w:val="auto"/>
    </w:pPr>
    <w:rPr>
      <w:lang w:eastAsia="ar-SA"/>
    </w:rPr>
  </w:style>
  <w:style w:type="paragraph" w:customStyle="1" w:styleId="Default">
    <w:name w:val="Default"/>
    <w:rsid w:val="009C2C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CC7E1B"/>
    <w:pPr>
      <w:autoSpaceDN w:val="0"/>
      <w:textAlignment w:val="baseline"/>
    </w:pPr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D54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163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0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86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2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61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054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7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2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19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76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199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31F1-96F6-42F9-87BE-964F27F3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1290</Words>
  <Characters>7358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Vašičková Jana</dc:creator>
  <cp:lastModifiedBy>Vašičková Jana</cp:lastModifiedBy>
  <cp:revision>3</cp:revision>
  <cp:lastPrinted>2022-03-30T13:32:00Z</cp:lastPrinted>
  <dcterms:created xsi:type="dcterms:W3CDTF">2022-04-29T11:27:00Z</dcterms:created>
  <dcterms:modified xsi:type="dcterms:W3CDTF">2022-04-29T11:40:00Z</dcterms:modified>
</cp:coreProperties>
</file>