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0BEDF262" w:rsidR="004702EC" w:rsidRPr="00441F44" w:rsidRDefault="00441F44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441F44">
              <w:rPr>
                <w:b/>
              </w:rPr>
              <w:t>2022030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092B83C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1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Sosnová</w:t>
      </w:r>
    </w:p>
    <w:p w14:paraId="48CB979C" w14:textId="6BB397A7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Z22518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0F0766B0" w:rsidR="009E2EF3" w:rsidRPr="00E2380D" w:rsidRDefault="009E2EF3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 xml:space="preserve">Eduard Bark, vedoucí provozně technického úseku, </w:t>
            </w:r>
            <w:hyperlink r:id="rId8" w:history="1">
              <w:r w:rsidRPr="00E2380D">
                <w:rPr>
                  <w:bCs/>
                  <w:sz w:val="22"/>
                  <w:szCs w:val="22"/>
                </w:rPr>
                <w:t>eduard.bark@silnicelk.cz</w:t>
              </w:r>
            </w:hyperlink>
            <w:r w:rsidRPr="00E2380D">
              <w:rPr>
                <w:bCs/>
                <w:sz w:val="22"/>
                <w:szCs w:val="22"/>
              </w:rPr>
              <w:t>, tel.: 601</w:t>
            </w:r>
            <w:r w:rsidR="00214361">
              <w:rPr>
                <w:bCs/>
                <w:sz w:val="22"/>
                <w:szCs w:val="22"/>
              </w:rPr>
              <w:t> </w:t>
            </w:r>
            <w:r w:rsidRPr="00E2380D">
              <w:rPr>
                <w:bCs/>
                <w:sz w:val="22"/>
                <w:szCs w:val="22"/>
              </w:rPr>
              <w:t>571</w:t>
            </w:r>
            <w:r w:rsidR="00214361">
              <w:rPr>
                <w:bCs/>
                <w:sz w:val="22"/>
                <w:szCs w:val="22"/>
              </w:rPr>
              <w:t xml:space="preserve"> </w:t>
            </w:r>
            <w:r w:rsidRPr="00E2380D">
              <w:rPr>
                <w:bCs/>
                <w:sz w:val="22"/>
                <w:szCs w:val="22"/>
              </w:rPr>
              <w:t>664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7F93E27E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 xml:space="preserve">v dubnu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5A08ED">
        <w:rPr>
          <w:sz w:val="22"/>
          <w:szCs w:val="22"/>
        </w:rPr>
        <w:t xml:space="preserve">1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5A08ED">
        <w:rPr>
          <w:b/>
          <w:bCs/>
          <w:sz w:val="22"/>
          <w:szCs w:val="22"/>
        </w:rPr>
        <w:t>Sosnová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148EBACF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E217EB" w:rsidRPr="001B1566">
        <w:rPr>
          <w:sz w:val="22"/>
          <w:szCs w:val="22"/>
        </w:rPr>
        <w:t xml:space="preserve"> </w:t>
      </w:r>
      <w:r w:rsidR="005A08ED" w:rsidRPr="005A08ED">
        <w:rPr>
          <w:sz w:val="22"/>
          <w:szCs w:val="22"/>
        </w:rPr>
        <w:t>Sosnová 230, 470 01 Sosnová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A08ED" w:rsidRPr="005A08ED">
        <w:rPr>
          <w:sz w:val="22"/>
          <w:szCs w:val="22"/>
        </w:rPr>
        <w:t>50°39'27.713"N 14°32'25.685"E</w:t>
      </w:r>
      <w:r w:rsidR="005A08ED">
        <w:rPr>
          <w:sz w:val="22"/>
          <w:szCs w:val="22"/>
        </w:rPr>
        <w:t xml:space="preserve">.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4ABB7" w:rsidR="00F0463A" w:rsidRPr="00186364" w:rsidRDefault="00CC1B12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Hynek Vrabec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602 112 381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hynek.vrabec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CBE2" w14:textId="77777777" w:rsidR="004D5769" w:rsidRDefault="004D5769" w:rsidP="00FA5255">
      <w:r>
        <w:separator/>
      </w:r>
    </w:p>
  </w:endnote>
  <w:endnote w:type="continuationSeparator" w:id="0">
    <w:p w14:paraId="3A9515B4" w14:textId="77777777" w:rsidR="004D5769" w:rsidRDefault="004D576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00B3" w14:textId="77777777" w:rsidR="004D5769" w:rsidRDefault="004D5769" w:rsidP="00FA5255">
      <w:r>
        <w:separator/>
      </w:r>
    </w:p>
  </w:footnote>
  <w:footnote w:type="continuationSeparator" w:id="0">
    <w:p w14:paraId="6C5950F8" w14:textId="77777777" w:rsidR="004D5769" w:rsidRDefault="004D5769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2587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Compet Consult</cp:lastModifiedBy>
  <cp:revision>20</cp:revision>
  <cp:lastPrinted>2022-04-14T07:54:00Z</cp:lastPrinted>
  <dcterms:created xsi:type="dcterms:W3CDTF">2022-04-14T07:44:00Z</dcterms:created>
  <dcterms:modified xsi:type="dcterms:W3CDTF">2022-04-14T08:18:00Z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