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03A5EA83"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4D72EB" w:rsidRPr="004D72EB">
        <w:rPr>
          <w:rFonts w:ascii="Garamond" w:eastAsiaTheme="minorEastAsia" w:hAnsi="Garamond"/>
          <w:b/>
          <w:bCs/>
          <w:lang w:eastAsia="sk-SK"/>
        </w:rPr>
        <w:t xml:space="preserve">Parkovisko </w:t>
      </w:r>
      <w:r w:rsidR="00100C83">
        <w:rPr>
          <w:rFonts w:ascii="Garamond" w:eastAsiaTheme="minorEastAsia" w:hAnsi="Garamond"/>
          <w:b/>
          <w:bCs/>
          <w:lang w:eastAsia="sk-SK"/>
        </w:rPr>
        <w:t>Krasňany</w:t>
      </w:r>
      <w:r w:rsidR="004D72EB" w:rsidRPr="004D72EB">
        <w:rPr>
          <w:rFonts w:ascii="Garamond" w:eastAsiaTheme="minorEastAsia" w:hAnsi="Garamond"/>
          <w:b/>
          <w:bCs/>
          <w:lang w:eastAsia="sk-SK"/>
        </w:rPr>
        <w:t>_SP0</w:t>
      </w:r>
      <w:r w:rsidR="008D3D48">
        <w:rPr>
          <w:rFonts w:ascii="Garamond" w:eastAsiaTheme="minorEastAsia" w:hAnsi="Garamond"/>
          <w:b/>
          <w:bCs/>
          <w:lang w:eastAsia="sk-SK"/>
        </w:rPr>
        <w:t>4</w:t>
      </w:r>
      <w:r w:rsidR="004D72EB" w:rsidRPr="004D72EB">
        <w:rPr>
          <w:rFonts w:ascii="Garamond" w:eastAsiaTheme="minorEastAsia" w:hAnsi="Garamond"/>
          <w:b/>
          <w:bCs/>
          <w:lang w:eastAsia="sk-SK"/>
        </w:rPr>
        <w:t>_2022-časť 2</w:t>
      </w:r>
      <w:r w:rsidR="006D5692">
        <w:rPr>
          <w:rFonts w:ascii="Garamond" w:eastAsiaTheme="minorEastAsia" w:hAnsi="Garamond"/>
          <w:b/>
          <w:bCs/>
          <w:lang w:eastAsia="sk-SK"/>
        </w:rPr>
        <w:t>“</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nasl.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30ACF8CB" w:rsidR="004D686A" w:rsidRPr="00100C83" w:rsidRDefault="004D686A" w:rsidP="00100C83">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4D72EB" w:rsidRPr="004D72EB">
        <w:rPr>
          <w:rFonts w:ascii="Garamond" w:eastAsiaTheme="minorEastAsia" w:hAnsi="Garamond"/>
          <w:b/>
          <w:bCs/>
          <w:lang w:eastAsia="sk-SK"/>
        </w:rPr>
        <w:t xml:space="preserve">Parkovisko </w:t>
      </w:r>
      <w:r w:rsidR="00100C83">
        <w:rPr>
          <w:rFonts w:ascii="Garamond" w:eastAsiaTheme="minorEastAsia" w:hAnsi="Garamond"/>
          <w:b/>
          <w:bCs/>
          <w:lang w:eastAsia="sk-SK"/>
        </w:rPr>
        <w:t>Krasňany</w:t>
      </w:r>
      <w:r w:rsidR="004D72EB" w:rsidRPr="00100C83">
        <w:rPr>
          <w:rFonts w:ascii="Garamond" w:eastAsiaTheme="minorEastAsia" w:hAnsi="Garamond"/>
          <w:b/>
          <w:bCs/>
          <w:lang w:eastAsia="sk-SK"/>
        </w:rPr>
        <w:t>_SP0</w:t>
      </w:r>
      <w:r w:rsidR="008D3D48">
        <w:rPr>
          <w:rFonts w:ascii="Garamond" w:eastAsiaTheme="minorEastAsia" w:hAnsi="Garamond"/>
          <w:b/>
          <w:bCs/>
          <w:lang w:eastAsia="sk-SK"/>
        </w:rPr>
        <w:t>4</w:t>
      </w:r>
      <w:r w:rsidR="004D72EB" w:rsidRPr="00100C83">
        <w:rPr>
          <w:rFonts w:ascii="Garamond" w:eastAsiaTheme="minorEastAsia" w:hAnsi="Garamond"/>
          <w:b/>
          <w:bCs/>
          <w:lang w:eastAsia="sk-SK"/>
        </w:rPr>
        <w:t>_2022-časť 2</w:t>
      </w:r>
      <w:r w:rsidR="00B660C9" w:rsidRPr="00100C83">
        <w:rPr>
          <w:rFonts w:ascii="Garamond" w:hAnsi="Garamond"/>
          <w:color w:val="000000" w:themeColor="text1"/>
          <w:sz w:val="22"/>
          <w:szCs w:val="22"/>
        </w:rPr>
        <w:t>“  a splnil požiadavky na predmet zákazky a podmienky účasti stanovené v súťažných podkladoch a ich prílohách</w:t>
      </w:r>
      <w:r w:rsidR="00B660C9" w:rsidRPr="00100C83">
        <w:rPr>
          <w:rFonts w:ascii="Garamond" w:hAnsi="Garamond"/>
          <w:sz w:val="22"/>
          <w:szCs w:val="22"/>
        </w:rPr>
        <w:t xml:space="preserve">, bližšie špecifikovaných vo Výzve na predkladanie ponúk zverejnenej dňa </w:t>
      </w:r>
      <w:r w:rsidR="00B660C9" w:rsidRPr="00100C83">
        <w:rPr>
          <w:rFonts w:ascii="Garamond" w:hAnsi="Garamond"/>
          <w:sz w:val="22"/>
          <w:szCs w:val="22"/>
          <w:highlight w:val="yellow"/>
          <w:lang w:eastAsia="cs-CZ"/>
        </w:rPr>
        <w:t>[doplniť</w:t>
      </w:r>
      <w:r w:rsidR="00B660C9" w:rsidRPr="00100C83">
        <w:rPr>
          <w:rFonts w:ascii="Garamond" w:hAnsi="Garamond"/>
          <w:sz w:val="22"/>
          <w:szCs w:val="22"/>
          <w:lang w:eastAsia="cs-CZ"/>
        </w:rPr>
        <w:t>]</w:t>
      </w:r>
      <w:r w:rsidRPr="00100C83">
        <w:rPr>
          <w:rFonts w:ascii="Garamond" w:eastAsia="Calibri" w:hAnsi="Garamond"/>
          <w:sz w:val="22"/>
          <w:szCs w:val="22"/>
        </w:rPr>
        <w:t>; a</w:t>
      </w:r>
      <w:r w:rsidRPr="00100C83">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r w:rsidRPr="00B660C9">
        <w:rPr>
          <w:rFonts w:ascii="Garamond" w:hAnsi="Garamond"/>
          <w:sz w:val="22"/>
          <w:szCs w:val="22"/>
          <w:lang w:eastAsia="cs-CZ"/>
        </w:rPr>
        <w:t>novácií;</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656/2004 Z. z. o energetike a o zmene niektorých zákonov v znení neskorších </w:t>
      </w:r>
      <w:r w:rsidRPr="00B660C9">
        <w:rPr>
          <w:rFonts w:ascii="Garamond" w:hAnsi="Garamond"/>
          <w:sz w:val="22"/>
          <w:szCs w:val="22"/>
        </w:rPr>
        <w:lastRenderedPageBreak/>
        <w:t>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56/2018 Z.z.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lastRenderedPageBreak/>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lastRenderedPageBreak/>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lastRenderedPageBreak/>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w:t>
      </w:r>
      <w:r w:rsidRPr="00B660C9">
        <w:rPr>
          <w:rFonts w:ascii="Garamond" w:hAnsi="Garamond" w:cs="Arial"/>
          <w:sz w:val="22"/>
          <w:szCs w:val="22"/>
        </w:rPr>
        <w:lastRenderedPageBreak/>
        <w:t>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a nasl.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lastRenderedPageBreak/>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w:t>
      </w:r>
      <w:r w:rsidRPr="00B660C9">
        <w:rPr>
          <w:rFonts w:ascii="Garamond" w:hAnsi="Garamond" w:cs="Arial"/>
          <w:sz w:val="22"/>
          <w:szCs w:val="22"/>
        </w:rPr>
        <w:lastRenderedPageBreak/>
        <w:t>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w:t>
      </w:r>
      <w:r w:rsidRPr="00B660C9">
        <w:rPr>
          <w:rFonts w:ascii="Garamond" w:eastAsia="Calibri" w:hAnsi="Garamond"/>
          <w:sz w:val="22"/>
          <w:szCs w:val="22"/>
        </w:rPr>
        <w:lastRenderedPageBreak/>
        <w:t>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Medziskládky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9523488">
    <w:abstractNumId w:val="35"/>
  </w:num>
  <w:num w:numId="2" w16cid:durableId="1827744412">
    <w:abstractNumId w:val="23"/>
  </w:num>
  <w:num w:numId="3" w16cid:durableId="1021399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843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7528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2376268">
    <w:abstractNumId w:val="33"/>
  </w:num>
  <w:num w:numId="7" w16cid:durableId="1728457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004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264685">
    <w:abstractNumId w:val="21"/>
  </w:num>
  <w:num w:numId="10" w16cid:durableId="903642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92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968682">
    <w:abstractNumId w:val="11"/>
  </w:num>
  <w:num w:numId="13" w16cid:durableId="1824810826">
    <w:abstractNumId w:val="36"/>
    <w:lvlOverride w:ilvl="0">
      <w:startOverride w:val="1"/>
    </w:lvlOverride>
    <w:lvlOverride w:ilvl="1"/>
    <w:lvlOverride w:ilvl="2"/>
    <w:lvlOverride w:ilvl="3"/>
    <w:lvlOverride w:ilvl="4"/>
    <w:lvlOverride w:ilvl="5"/>
    <w:lvlOverride w:ilvl="6"/>
    <w:lvlOverride w:ilvl="7"/>
    <w:lvlOverride w:ilvl="8"/>
  </w:num>
  <w:num w:numId="14" w16cid:durableId="866793751">
    <w:abstractNumId w:val="3"/>
  </w:num>
  <w:num w:numId="15" w16cid:durableId="414284945">
    <w:abstractNumId w:val="33"/>
  </w:num>
  <w:num w:numId="16" w16cid:durableId="1795516508">
    <w:abstractNumId w:val="5"/>
  </w:num>
  <w:num w:numId="17" w16cid:durableId="2130390954">
    <w:abstractNumId w:val="4"/>
  </w:num>
  <w:num w:numId="18" w16cid:durableId="309409194">
    <w:abstractNumId w:val="35"/>
    <w:lvlOverride w:ilvl="0">
      <w:startOverride w:val="1"/>
    </w:lvlOverride>
    <w:lvlOverride w:ilvl="1">
      <w:startOverride w:val="1"/>
    </w:lvlOverride>
    <w:lvlOverride w:ilvl="2">
      <w:startOverride w:val="1"/>
    </w:lvlOverride>
  </w:num>
  <w:num w:numId="19" w16cid:durableId="2607250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5145261">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70288">
    <w:abstractNumId w:val="12"/>
  </w:num>
  <w:num w:numId="22" w16cid:durableId="2051832386">
    <w:abstractNumId w:val="18"/>
  </w:num>
  <w:num w:numId="23" w16cid:durableId="1832023373">
    <w:abstractNumId w:val="13"/>
  </w:num>
  <w:num w:numId="24" w16cid:durableId="326633826">
    <w:abstractNumId w:val="20"/>
  </w:num>
  <w:num w:numId="25" w16cid:durableId="1011760279">
    <w:abstractNumId w:val="14"/>
  </w:num>
  <w:num w:numId="26" w16cid:durableId="1835535488">
    <w:abstractNumId w:val="16"/>
  </w:num>
  <w:num w:numId="27" w16cid:durableId="503521356">
    <w:abstractNumId w:val="19"/>
  </w:num>
  <w:num w:numId="28" w16cid:durableId="65034282">
    <w:abstractNumId w:val="37"/>
  </w:num>
  <w:num w:numId="29" w16cid:durableId="197859125">
    <w:abstractNumId w:val="6"/>
  </w:num>
  <w:num w:numId="30" w16cid:durableId="707990388">
    <w:abstractNumId w:val="39"/>
  </w:num>
  <w:num w:numId="31" w16cid:durableId="1759523260">
    <w:abstractNumId w:val="29"/>
  </w:num>
  <w:num w:numId="32" w16cid:durableId="2019506477">
    <w:abstractNumId w:val="17"/>
  </w:num>
  <w:num w:numId="33" w16cid:durableId="823474125">
    <w:abstractNumId w:val="27"/>
  </w:num>
  <w:num w:numId="34" w16cid:durableId="549460150">
    <w:abstractNumId w:val="32"/>
  </w:num>
  <w:num w:numId="35" w16cid:durableId="1783528617">
    <w:abstractNumId w:val="22"/>
  </w:num>
  <w:num w:numId="36" w16cid:durableId="1465583825">
    <w:abstractNumId w:val="34"/>
  </w:num>
  <w:num w:numId="37" w16cid:durableId="1853106076">
    <w:abstractNumId w:val="15"/>
  </w:num>
  <w:num w:numId="38" w16cid:durableId="182133081">
    <w:abstractNumId w:val="7"/>
  </w:num>
  <w:num w:numId="39" w16cid:durableId="1942029498">
    <w:abstractNumId w:val="8"/>
  </w:num>
  <w:num w:numId="40" w16cid:durableId="606011934">
    <w:abstractNumId w:val="30"/>
  </w:num>
  <w:num w:numId="41" w16cid:durableId="142483689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C83"/>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2EB"/>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5692"/>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D3D48"/>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33D"/>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8071</Words>
  <Characters>46005</Characters>
  <Application>Microsoft Office Word</Application>
  <DocSecurity>0</DocSecurity>
  <Lines>383</Lines>
  <Paragraphs>107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9</cp:revision>
  <cp:lastPrinted>2021-10-10T18:10:00Z</cp:lastPrinted>
  <dcterms:created xsi:type="dcterms:W3CDTF">2021-11-17T13:03:00Z</dcterms:created>
  <dcterms:modified xsi:type="dcterms:W3CDTF">2022-04-21T11:10:00Z</dcterms:modified>
</cp:coreProperties>
</file>