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lastRenderedPageBreak/>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762D5532"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F87CDD">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lastRenderedPageBreak/>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635/1b,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lastRenderedPageBreak/>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lastRenderedPageBreak/>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lastRenderedPageBreak/>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lastRenderedPageBreak/>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 xml:space="preserve">má nastaven funkční systém kontroly obchodních partnerů ve vztahu k mezinárodním sankcím vyplývajícím zejména z předpisů a rozhodnutí orgánů Evropské unie, Organizace spojených národů, </w:t>
      </w:r>
      <w:r w:rsidRPr="00AC5F66">
        <w:rPr>
          <w:rFonts w:asciiTheme="minorHAnsi" w:hAnsiTheme="minorHAnsi" w:cstheme="minorHAnsi"/>
          <w:iCs/>
          <w:sz w:val="22"/>
          <w:szCs w:val="22"/>
        </w:rPr>
        <w:lastRenderedPageBreak/>
        <w:t>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lastRenderedPageBreak/>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lastRenderedPageBreak/>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16A7"/>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4C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6BA0"/>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87CDD"/>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12486</Words>
  <Characters>74686</Characters>
  <Application>Microsoft Office Word</Application>
  <DocSecurity>0</DocSecurity>
  <Lines>622</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2022-05-11T07:51:00Z</dcterms:created>
  <dcterms:modified xsi:type="dcterms:W3CDTF">2022-05-13T07:47:00Z</dcterms:modified>
</cp:coreProperties>
</file>