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A1F" w14:textId="3C126180" w:rsidR="00981DFB" w:rsidRPr="0007563A" w:rsidRDefault="00114012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07563A" w:rsidRPr="0007563A">
        <w:rPr>
          <w:sz w:val="32"/>
          <w:szCs w:val="32"/>
        </w:rPr>
        <w:t>odavatel</w:t>
      </w:r>
      <w:r>
        <w:rPr>
          <w:sz w:val="32"/>
          <w:szCs w:val="32"/>
        </w:rPr>
        <w:t xml:space="preserve"> dodá reference na realizaci požadovaného sportovního povrchu v obdobném měřítku, tedy hřiště s rozměry alespoň 40x20 m.</w:t>
      </w:r>
    </w:p>
    <w:sectPr w:rsidR="00981DFB" w:rsidRPr="00075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114012"/>
    <w:rsid w:val="00981DFB"/>
    <w:rsid w:val="00B357E3"/>
    <w:rsid w:val="00C2013E"/>
    <w:rsid w:val="00E3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CE8E"/>
  <w15:docId w15:val="{F302C713-6706-48D9-A78E-B55C749C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2020-03-11T12:15:00Z</dcterms:created>
  <dcterms:modified xsi:type="dcterms:W3CDTF">2022-05-24T06:03:00Z</dcterms:modified>
</cp:coreProperties>
</file>