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6553CA39"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72707A">
        <w:rPr>
          <w:rFonts w:ascii="Calibri" w:hAnsi="Calibri" w:cs="Calibri"/>
          <w:b/>
          <w:sz w:val="22"/>
          <w:szCs w:val="22"/>
          <w:highlight w:val="yellow"/>
        </w:rPr>
        <w:t xml:space="preserve">doplní </w:t>
      </w:r>
      <w:r w:rsidR="00245787" w:rsidRPr="0072707A">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D85D32">
        <w:rPr>
          <w:rFonts w:ascii="Calibri" w:hAnsi="Calibri" w:cs="Calibri"/>
          <w:b/>
          <w:caps/>
          <w:sz w:val="22"/>
          <w:szCs w:val="22"/>
        </w:rPr>
        <w:t>Kupující</w:t>
      </w:r>
      <w:r w:rsidR="00216916" w:rsidRPr="00D85D32">
        <w:rPr>
          <w:rFonts w:ascii="Calibri" w:hAnsi="Calibri" w:cs="Calibri"/>
          <w:b/>
          <w:caps/>
          <w:sz w:val="22"/>
          <w:szCs w:val="22"/>
        </w:rPr>
        <w:t>ho</w:t>
      </w:r>
      <w:r w:rsidRPr="00D85D32">
        <w:rPr>
          <w:rFonts w:ascii="Calibri" w:hAnsi="Calibri" w:cs="Calibri"/>
          <w:b/>
          <w:caps/>
          <w:sz w:val="22"/>
          <w:szCs w:val="22"/>
        </w:rPr>
        <w:t xml:space="preserve"> </w:t>
      </w:r>
      <w:r w:rsidR="00E0132D" w:rsidRPr="00D85D32">
        <w:rPr>
          <w:rFonts w:ascii="Calibri" w:hAnsi="Calibri" w:cs="Calibri"/>
          <w:b/>
          <w:caps/>
          <w:sz w:val="22"/>
          <w:szCs w:val="22"/>
        </w:rPr>
        <w:t>05-</w:t>
      </w:r>
      <w:r w:rsidR="00D85D32">
        <w:rPr>
          <w:rFonts w:ascii="Calibri" w:hAnsi="Calibri" w:cs="Calibri"/>
          <w:b/>
          <w:caps/>
          <w:sz w:val="22"/>
          <w:szCs w:val="22"/>
          <w:highlight w:val="green"/>
        </w:rPr>
        <w:t>…</w:t>
      </w:r>
      <w:r w:rsidR="00E0132D" w:rsidRPr="00D85D32">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BA17E55" w14:textId="77AD62A2" w:rsidR="00A925DA" w:rsidRPr="009C0DCD"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72707A">
        <w:rPr>
          <w:rFonts w:ascii="Calibri" w:hAnsi="Calibri" w:cs="Calibri"/>
          <w:b/>
          <w:bCs/>
          <w:color w:val="333333"/>
          <w:sz w:val="22"/>
          <w:szCs w:val="22"/>
          <w:highlight w:val="yellow"/>
          <w:shd w:val="clear" w:color="auto" w:fill="FFFFFF"/>
        </w:rPr>
        <w:t xml:space="preserve"> doplní </w:t>
      </w:r>
      <w:r w:rsidR="00245787" w:rsidRPr="0072707A">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72707A">
        <w:rPr>
          <w:rFonts w:ascii="Calibri" w:hAnsi="Calibri" w:cs="Calibri"/>
          <w:b/>
          <w:bCs/>
          <w:color w:val="333333"/>
          <w:sz w:val="22"/>
          <w:szCs w:val="22"/>
          <w:highlight w:val="yellow"/>
          <w:shd w:val="clear" w:color="auto" w:fill="FFFFFF"/>
        </w:rPr>
        <w:t xml:space="preserve"> </w:t>
      </w:r>
      <w:r w:rsidRPr="0072707A">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 xml:space="preserve">Karlem </w:t>
      </w:r>
      <w:proofErr w:type="spellStart"/>
      <w:r>
        <w:rPr>
          <w:rFonts w:ascii="Calibri" w:hAnsi="Calibri" w:cs="Calibri"/>
          <w:sz w:val="22"/>
          <w:szCs w:val="22"/>
        </w:rPr>
        <w:t>Horčíkem</w:t>
      </w:r>
      <w:proofErr w:type="spellEnd"/>
      <w:r>
        <w:rPr>
          <w:rFonts w:ascii="Calibri" w:hAnsi="Calibri" w:cs="Calibri"/>
          <w:sz w:val="22"/>
          <w:szCs w:val="22"/>
        </w:rPr>
        <w:t xml:space="preserve">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5BF82C6" w14:textId="74B93B1C" w:rsidR="00A61671" w:rsidRDefault="00E0132D" w:rsidP="006A5CFE">
      <w:pPr>
        <w:jc w:val="both"/>
        <w:rPr>
          <w:rStyle w:val="platne1"/>
          <w:rFonts w:ascii="Calibri" w:hAnsi="Calibri" w:cs="Calibri"/>
          <w:sz w:val="22"/>
          <w:szCs w:val="22"/>
        </w:rPr>
      </w:pPr>
      <w:bookmarkStart w:id="0" w:name="_Hlk74044859"/>
      <w:r>
        <w:rPr>
          <w:rStyle w:val="platne1"/>
          <w:rFonts w:ascii="Calibri" w:hAnsi="Calibri" w:cs="Calibri"/>
          <w:sz w:val="22"/>
          <w:szCs w:val="22"/>
        </w:rPr>
        <w:t>vyřizuje</w:t>
      </w:r>
      <w:r w:rsidR="00EF6380">
        <w:rPr>
          <w:rStyle w:val="platne1"/>
          <w:rFonts w:ascii="Calibri" w:hAnsi="Calibri" w:cs="Calibri"/>
          <w:sz w:val="22"/>
          <w:szCs w:val="22"/>
        </w:rPr>
        <w:t>:</w:t>
      </w:r>
      <w:r w:rsidR="00EF6380">
        <w:rPr>
          <w:rStyle w:val="platne1"/>
          <w:rFonts w:ascii="Calibri" w:hAnsi="Calibri" w:cs="Calibri"/>
          <w:sz w:val="22"/>
          <w:szCs w:val="22"/>
        </w:rPr>
        <w:tab/>
      </w:r>
      <w:r w:rsidR="00DB45C8">
        <w:rPr>
          <w:rStyle w:val="platne1"/>
          <w:rFonts w:ascii="Calibri" w:hAnsi="Calibri" w:cs="Calibri"/>
          <w:sz w:val="22"/>
          <w:szCs w:val="22"/>
        </w:rPr>
        <w:t>Bc. Pavel Cudrák</w:t>
      </w:r>
      <w:r>
        <w:rPr>
          <w:rStyle w:val="platne1"/>
          <w:rFonts w:ascii="Calibri" w:hAnsi="Calibri" w:cs="Calibri"/>
          <w:sz w:val="22"/>
          <w:szCs w:val="22"/>
        </w:rPr>
        <w:t xml:space="preserve">, </w:t>
      </w:r>
      <w:r w:rsidR="00DB45C8">
        <w:rPr>
          <w:rStyle w:val="platne1"/>
          <w:rFonts w:ascii="Calibri" w:hAnsi="Calibri" w:cs="Calibri"/>
          <w:sz w:val="22"/>
          <w:szCs w:val="22"/>
        </w:rPr>
        <w:t>projektový manažer</w:t>
      </w:r>
      <w:r w:rsidR="0039677B">
        <w:rPr>
          <w:rStyle w:val="platne1"/>
          <w:rFonts w:ascii="Calibri" w:hAnsi="Calibri" w:cs="Calibri"/>
          <w:sz w:val="22"/>
          <w:szCs w:val="22"/>
        </w:rPr>
        <w:t xml:space="preserve"> </w:t>
      </w:r>
    </w:p>
    <w:p w14:paraId="0B944EC5" w14:textId="414620FD" w:rsidR="00E0132D" w:rsidRDefault="00E0132D" w:rsidP="006A5CFE">
      <w:pPr>
        <w:jc w:val="both"/>
        <w:rPr>
          <w:rStyle w:val="platne1"/>
          <w:rFonts w:ascii="Calibri" w:hAnsi="Calibri" w:cs="Calibri"/>
          <w:sz w:val="22"/>
          <w:szCs w:val="22"/>
        </w:rPr>
      </w:pPr>
      <w:r>
        <w:rPr>
          <w:rStyle w:val="platne1"/>
          <w:rFonts w:ascii="Calibri" w:hAnsi="Calibri" w:cs="Calibri"/>
          <w:sz w:val="22"/>
          <w:szCs w:val="22"/>
        </w:rPr>
        <w:t>telefon:</w:t>
      </w:r>
      <w:r>
        <w:rPr>
          <w:rStyle w:val="platne1"/>
          <w:rFonts w:ascii="Calibri" w:hAnsi="Calibri" w:cs="Calibri"/>
          <w:sz w:val="22"/>
          <w:szCs w:val="22"/>
        </w:rPr>
        <w:tab/>
      </w:r>
      <w:r>
        <w:rPr>
          <w:rStyle w:val="platne1"/>
          <w:rFonts w:ascii="Calibri" w:hAnsi="Calibri" w:cs="Calibri"/>
          <w:sz w:val="22"/>
          <w:szCs w:val="22"/>
        </w:rPr>
        <w:tab/>
      </w:r>
      <w:r w:rsidR="00DB45C8">
        <w:rPr>
          <w:rStyle w:val="platne1"/>
          <w:rFonts w:ascii="Calibri" w:hAnsi="Calibri" w:cs="Calibri"/>
          <w:sz w:val="22"/>
          <w:szCs w:val="22"/>
        </w:rPr>
        <w:t>7</w:t>
      </w:r>
      <w:r w:rsidR="00DB45C8" w:rsidRPr="00DB45C8">
        <w:rPr>
          <w:rStyle w:val="platne1"/>
          <w:rFonts w:ascii="Calibri" w:hAnsi="Calibri" w:cs="Calibri"/>
          <w:sz w:val="22"/>
          <w:szCs w:val="22"/>
        </w:rPr>
        <w:t>20 972 196</w:t>
      </w:r>
    </w:p>
    <w:p w14:paraId="043BEC80" w14:textId="139617DE" w:rsidR="00E0132D" w:rsidRDefault="00E0132D" w:rsidP="006A5CFE">
      <w:pPr>
        <w:jc w:val="both"/>
        <w:rPr>
          <w:rStyle w:val="platne1"/>
          <w:rFonts w:ascii="Calibri" w:hAnsi="Calibri" w:cs="Calibri"/>
          <w:sz w:val="22"/>
          <w:szCs w:val="22"/>
        </w:rPr>
      </w:pPr>
      <w:r>
        <w:rPr>
          <w:rStyle w:val="platne1"/>
          <w:rFonts w:ascii="Calibri" w:hAnsi="Calibri" w:cs="Calibri"/>
          <w:sz w:val="22"/>
          <w:szCs w:val="22"/>
        </w:rPr>
        <w:t>e-mail:</w:t>
      </w:r>
      <w:r>
        <w:rPr>
          <w:rStyle w:val="platne1"/>
          <w:rFonts w:ascii="Calibri" w:hAnsi="Calibri" w:cs="Calibri"/>
          <w:sz w:val="22"/>
          <w:szCs w:val="22"/>
        </w:rPr>
        <w:tab/>
      </w:r>
      <w:r>
        <w:rPr>
          <w:rStyle w:val="platne1"/>
          <w:rFonts w:ascii="Calibri" w:hAnsi="Calibri" w:cs="Calibri"/>
          <w:sz w:val="22"/>
          <w:szCs w:val="22"/>
        </w:rPr>
        <w:tab/>
      </w:r>
      <w:r w:rsidR="00DB45C8">
        <w:rPr>
          <w:rStyle w:val="platne1"/>
          <w:rFonts w:ascii="Calibri" w:hAnsi="Calibri" w:cs="Calibri"/>
          <w:sz w:val="22"/>
          <w:szCs w:val="22"/>
        </w:rPr>
        <w:t>Pavel.Cudrak</w:t>
      </w:r>
      <w:r>
        <w:rPr>
          <w:rStyle w:val="platne1"/>
          <w:rFonts w:ascii="Calibri" w:hAnsi="Calibri" w:cs="Calibri"/>
          <w:sz w:val="22"/>
          <w:szCs w:val="22"/>
        </w:rPr>
        <w:t>@dpov.cz</w:t>
      </w:r>
    </w:p>
    <w:bookmarkEnd w:id="0"/>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4C0CB6A5" w14:textId="5AFEC4A0" w:rsidR="00545E68" w:rsidRPr="0034465B" w:rsidRDefault="00545E68" w:rsidP="0034465B">
      <w:pPr>
        <w:pStyle w:val="Odstavecseseznamem"/>
        <w:numPr>
          <w:ilvl w:val="0"/>
          <w:numId w:val="40"/>
        </w:numPr>
        <w:jc w:val="center"/>
        <w:rPr>
          <w:rStyle w:val="platne1"/>
          <w:rFonts w:ascii="Calibri" w:hAnsi="Calibri" w:cs="Calibri"/>
          <w:b/>
          <w:sz w:val="22"/>
          <w:szCs w:val="22"/>
        </w:rPr>
      </w:pPr>
      <w:r w:rsidRPr="0034465B">
        <w:rPr>
          <w:rStyle w:val="platne1"/>
          <w:rFonts w:ascii="Calibri" w:hAnsi="Calibri" w:cs="Calibri"/>
          <w:b/>
          <w:sz w:val="22"/>
          <w:szCs w:val="22"/>
        </w:rPr>
        <w:lastRenderedPageBreak/>
        <w:t xml:space="preserve">Předmět </w:t>
      </w:r>
      <w:r w:rsidR="007F6C9A" w:rsidRPr="0034465B">
        <w:rPr>
          <w:rStyle w:val="platne1"/>
          <w:rFonts w:ascii="Calibri" w:hAnsi="Calibri" w:cs="Calibri"/>
          <w:b/>
          <w:sz w:val="22"/>
          <w:szCs w:val="22"/>
        </w:rPr>
        <w:t xml:space="preserve">Rámcové </w:t>
      </w:r>
      <w:r w:rsidRPr="0034465B">
        <w:rPr>
          <w:rStyle w:val="platne1"/>
          <w:rFonts w:ascii="Calibri" w:hAnsi="Calibri" w:cs="Calibri"/>
          <w:b/>
          <w:sz w:val="22"/>
          <w:szCs w:val="22"/>
        </w:rPr>
        <w:t>smlouvy</w:t>
      </w:r>
    </w:p>
    <w:p w14:paraId="4C4054B7" w14:textId="77777777" w:rsidR="0034465B" w:rsidRPr="0034465B" w:rsidRDefault="0034465B" w:rsidP="0034465B">
      <w:pPr>
        <w:pStyle w:val="Odstavecseseznamem"/>
        <w:ind w:left="1065"/>
        <w:rPr>
          <w:rStyle w:val="platne1"/>
          <w:rFonts w:ascii="Calibri" w:hAnsi="Calibri" w:cs="Calibri"/>
          <w:b/>
          <w:sz w:val="22"/>
          <w:szCs w:val="22"/>
        </w:rPr>
      </w:pPr>
    </w:p>
    <w:p w14:paraId="6C4F78D1" w14:textId="237D3420" w:rsidR="008742A9" w:rsidRDefault="008742A9" w:rsidP="00AE1E3F">
      <w:pPr>
        <w:numPr>
          <w:ilvl w:val="0"/>
          <w:numId w:val="5"/>
        </w:numPr>
        <w:spacing w:before="60"/>
        <w:ind w:left="567" w:hanging="567"/>
        <w:jc w:val="both"/>
        <w:rPr>
          <w:rFonts w:ascii="Calibri" w:hAnsi="Calibri" w:cs="Calibri"/>
          <w:sz w:val="22"/>
          <w:szCs w:val="22"/>
        </w:rPr>
      </w:pPr>
      <w:r>
        <w:rPr>
          <w:rFonts w:ascii="Calibri" w:hAnsi="Calibri" w:cs="Calibri"/>
          <w:sz w:val="22"/>
          <w:szCs w:val="22"/>
        </w:rPr>
        <w:t xml:space="preserve">Prodávající se uzavřením této Rámcové smlouvy zavazuje, že </w:t>
      </w:r>
      <w:r w:rsidR="00710442">
        <w:rPr>
          <w:rFonts w:ascii="Calibri" w:hAnsi="Calibri" w:cs="Calibri"/>
          <w:sz w:val="22"/>
          <w:szCs w:val="22"/>
        </w:rPr>
        <w:t xml:space="preserve">bude </w:t>
      </w:r>
      <w:r>
        <w:rPr>
          <w:rFonts w:ascii="Calibri" w:hAnsi="Calibri" w:cs="Calibri"/>
          <w:sz w:val="22"/>
          <w:szCs w:val="22"/>
        </w:rPr>
        <w:t>řádně a včas</w:t>
      </w:r>
      <w:r w:rsidR="00710442">
        <w:rPr>
          <w:rFonts w:ascii="Calibri" w:hAnsi="Calibri" w:cs="Calibri"/>
          <w:sz w:val="22"/>
          <w:szCs w:val="22"/>
        </w:rPr>
        <w:t xml:space="preserve"> </w:t>
      </w:r>
      <w:r w:rsidR="00045E20">
        <w:rPr>
          <w:rFonts w:ascii="Calibri" w:hAnsi="Calibri" w:cs="Calibri"/>
          <w:sz w:val="22"/>
          <w:szCs w:val="22"/>
        </w:rPr>
        <w:t>dodávat a</w:t>
      </w:r>
      <w:r>
        <w:rPr>
          <w:rFonts w:ascii="Calibri" w:hAnsi="Calibri" w:cs="Calibri"/>
          <w:sz w:val="22"/>
          <w:szCs w:val="22"/>
        </w:rPr>
        <w:t xml:space="preserve"> odevzdávat Kupujícímu materiál specifikovaný v Příloze č. 3 této Rámcové smlouvy na základě příslušné uzavřené Dílčí smlouvy </w:t>
      </w:r>
      <w:r w:rsidRPr="008742A9">
        <w:rPr>
          <w:rFonts w:ascii="Calibri" w:hAnsi="Calibri" w:cs="Calibri"/>
          <w:sz w:val="22"/>
          <w:szCs w:val="22"/>
        </w:rPr>
        <w:t>(dále jen „</w:t>
      </w:r>
      <w:r w:rsidRPr="00C40B66">
        <w:rPr>
          <w:rFonts w:ascii="Calibri" w:hAnsi="Calibri" w:cs="Calibri"/>
          <w:b/>
          <w:bCs/>
          <w:i/>
          <w:iCs/>
          <w:sz w:val="22"/>
          <w:szCs w:val="22"/>
        </w:rPr>
        <w:t>Věc</w:t>
      </w:r>
      <w:r w:rsidRPr="008742A9">
        <w:rPr>
          <w:rFonts w:ascii="Calibri" w:hAnsi="Calibri" w:cs="Calibri"/>
          <w:sz w:val="22"/>
          <w:szCs w:val="22"/>
        </w:rPr>
        <w:t>“, příp. „</w:t>
      </w:r>
      <w:r w:rsidRPr="00C40B66">
        <w:rPr>
          <w:rFonts w:ascii="Calibri" w:hAnsi="Calibri" w:cs="Calibri"/>
          <w:b/>
          <w:bCs/>
          <w:i/>
          <w:iCs/>
          <w:sz w:val="22"/>
          <w:szCs w:val="22"/>
        </w:rPr>
        <w:t>Věci</w:t>
      </w:r>
      <w:r w:rsidRPr="008742A9">
        <w:rPr>
          <w:rFonts w:ascii="Calibri" w:hAnsi="Calibri" w:cs="Calibri"/>
          <w:sz w:val="22"/>
          <w:szCs w:val="22"/>
        </w:rPr>
        <w:t>“ nebo „</w:t>
      </w:r>
      <w:r w:rsidRPr="00C40B66">
        <w:rPr>
          <w:rFonts w:ascii="Calibri" w:hAnsi="Calibri" w:cs="Calibri"/>
          <w:b/>
          <w:bCs/>
          <w:i/>
          <w:iCs/>
          <w:sz w:val="22"/>
          <w:szCs w:val="22"/>
        </w:rPr>
        <w:t>Předmět plnění</w:t>
      </w:r>
      <w:r w:rsidRPr="008742A9">
        <w:rPr>
          <w:rFonts w:ascii="Calibri" w:hAnsi="Calibri" w:cs="Calibri"/>
          <w:sz w:val="22"/>
          <w:szCs w:val="22"/>
        </w:rPr>
        <w:t>“)</w:t>
      </w:r>
      <w:r>
        <w:rPr>
          <w:rFonts w:ascii="Calibri" w:hAnsi="Calibri" w:cs="Calibri"/>
          <w:sz w:val="22"/>
          <w:szCs w:val="22"/>
        </w:rPr>
        <w:t>, a umožní Kupujícímu nabývat vlastnické právo k Věcem.</w:t>
      </w:r>
    </w:p>
    <w:p w14:paraId="6E947079" w14:textId="63080CE0" w:rsidR="00545E68" w:rsidRPr="005F5BDB" w:rsidRDefault="00DF135A" w:rsidP="00106FFC">
      <w:pPr>
        <w:numPr>
          <w:ilvl w:val="0"/>
          <w:numId w:val="5"/>
        </w:numPr>
        <w:spacing w:before="60"/>
        <w:ind w:left="567" w:hanging="567"/>
        <w:jc w:val="both"/>
        <w:rPr>
          <w:rFonts w:ascii="Calibri" w:hAnsi="Calibri" w:cs="Calibri"/>
          <w:sz w:val="22"/>
          <w:szCs w:val="22"/>
        </w:rPr>
      </w:pPr>
      <w:r w:rsidRPr="005F5BDB">
        <w:rPr>
          <w:rFonts w:ascii="Calibri" w:hAnsi="Calibri" w:cs="Calibri"/>
          <w:sz w:val="22"/>
          <w:szCs w:val="22"/>
        </w:rPr>
        <w:t>Kupující</w:t>
      </w:r>
      <w:r w:rsidR="00545E68" w:rsidRPr="005F5BDB">
        <w:rPr>
          <w:rFonts w:ascii="Calibri" w:hAnsi="Calibri" w:cs="Calibri"/>
          <w:sz w:val="22"/>
          <w:szCs w:val="22"/>
        </w:rPr>
        <w:t xml:space="preserve"> se uzavřením této </w:t>
      </w:r>
      <w:r w:rsidR="008170F4" w:rsidRPr="005F5BDB">
        <w:rPr>
          <w:rFonts w:ascii="Calibri" w:hAnsi="Calibri" w:cs="Calibri"/>
          <w:sz w:val="22"/>
          <w:szCs w:val="22"/>
        </w:rPr>
        <w:t>Rámcové</w:t>
      </w:r>
      <w:r w:rsidR="00545E68" w:rsidRPr="005F5BDB">
        <w:rPr>
          <w:rFonts w:ascii="Calibri" w:hAnsi="Calibri" w:cs="Calibri"/>
          <w:sz w:val="22"/>
          <w:szCs w:val="22"/>
        </w:rPr>
        <w:t xml:space="preserve"> smlouvy zavazuje</w:t>
      </w:r>
      <w:r w:rsidR="00F900B7" w:rsidRPr="005F5BDB">
        <w:rPr>
          <w:rFonts w:ascii="Calibri" w:hAnsi="Calibri" w:cs="Calibri"/>
          <w:sz w:val="22"/>
          <w:szCs w:val="22"/>
        </w:rPr>
        <w:t>, že</w:t>
      </w:r>
      <w:r w:rsidR="00545E68" w:rsidRPr="005F5BDB">
        <w:rPr>
          <w:rFonts w:ascii="Calibri" w:hAnsi="Calibri" w:cs="Calibri"/>
          <w:sz w:val="22"/>
          <w:szCs w:val="22"/>
        </w:rPr>
        <w:t xml:space="preserve"> </w:t>
      </w:r>
      <w:r w:rsidR="00EE14B2" w:rsidRPr="005F5BDB">
        <w:rPr>
          <w:rFonts w:ascii="Calibri" w:hAnsi="Calibri" w:cs="Calibri"/>
          <w:sz w:val="22"/>
          <w:szCs w:val="22"/>
        </w:rPr>
        <w:t>Věci</w:t>
      </w:r>
      <w:r w:rsidR="00545E68" w:rsidRPr="005F5BDB">
        <w:rPr>
          <w:rFonts w:ascii="Calibri" w:hAnsi="Calibri" w:cs="Calibri"/>
          <w:sz w:val="22"/>
          <w:szCs w:val="22"/>
        </w:rPr>
        <w:t xml:space="preserve"> </w:t>
      </w:r>
      <w:r w:rsidR="0043577F" w:rsidRPr="005F5BDB">
        <w:rPr>
          <w:rFonts w:ascii="Calibri" w:hAnsi="Calibri" w:cs="Calibri"/>
          <w:sz w:val="22"/>
          <w:szCs w:val="22"/>
        </w:rPr>
        <w:t xml:space="preserve">řádně </w:t>
      </w:r>
      <w:r w:rsidRPr="005F5BDB">
        <w:rPr>
          <w:rFonts w:ascii="Calibri" w:hAnsi="Calibri" w:cs="Calibri"/>
          <w:sz w:val="22"/>
          <w:szCs w:val="22"/>
        </w:rPr>
        <w:t>dodané</w:t>
      </w:r>
      <w:r w:rsidR="001E1FB8" w:rsidRPr="005F5BDB">
        <w:rPr>
          <w:rFonts w:ascii="Calibri" w:hAnsi="Calibri" w:cs="Calibri"/>
          <w:sz w:val="22"/>
          <w:szCs w:val="22"/>
        </w:rPr>
        <w:t xml:space="preserve"> </w:t>
      </w:r>
      <w:r w:rsidR="009C0DCD">
        <w:rPr>
          <w:rFonts w:ascii="Calibri" w:hAnsi="Calibri" w:cs="Calibri"/>
          <w:sz w:val="22"/>
          <w:szCs w:val="22"/>
        </w:rPr>
        <w:t xml:space="preserve">a předané Kupujícím v souladu s Rámcovou </w:t>
      </w:r>
      <w:r w:rsidR="00602941">
        <w:rPr>
          <w:rFonts w:ascii="Calibri" w:hAnsi="Calibri" w:cs="Calibri"/>
          <w:sz w:val="22"/>
          <w:szCs w:val="22"/>
        </w:rPr>
        <w:t xml:space="preserve">smlouvou </w:t>
      </w:r>
      <w:r w:rsidR="009C0DCD">
        <w:rPr>
          <w:rFonts w:ascii="Calibri" w:hAnsi="Calibri" w:cs="Calibri"/>
          <w:sz w:val="22"/>
          <w:szCs w:val="22"/>
        </w:rPr>
        <w:t xml:space="preserve">a </w:t>
      </w:r>
      <w:r w:rsidR="009C0DCD" w:rsidRPr="005F5BDB">
        <w:rPr>
          <w:rFonts w:ascii="Calibri" w:hAnsi="Calibri" w:cs="Calibri"/>
          <w:sz w:val="22"/>
          <w:szCs w:val="22"/>
        </w:rPr>
        <w:t>příslušn</w:t>
      </w:r>
      <w:r w:rsidR="009C0DCD">
        <w:rPr>
          <w:rFonts w:ascii="Calibri" w:hAnsi="Calibri" w:cs="Calibri"/>
          <w:sz w:val="22"/>
          <w:szCs w:val="22"/>
        </w:rPr>
        <w:t>ou</w:t>
      </w:r>
      <w:r w:rsidR="009C0DCD" w:rsidRPr="009C0DCD">
        <w:rPr>
          <w:rFonts w:ascii="Calibri" w:hAnsi="Calibri" w:cs="Calibri"/>
          <w:sz w:val="22"/>
          <w:szCs w:val="22"/>
        </w:rPr>
        <w:t xml:space="preserve"> </w:t>
      </w:r>
      <w:r w:rsidR="001E1FB8" w:rsidRPr="009C0DCD">
        <w:rPr>
          <w:rFonts w:ascii="Calibri" w:hAnsi="Calibri" w:cs="Calibri"/>
          <w:sz w:val="22"/>
          <w:szCs w:val="22"/>
        </w:rPr>
        <w:t>Dílčí smlouv</w:t>
      </w:r>
      <w:r w:rsidR="009C0DCD">
        <w:rPr>
          <w:rFonts w:ascii="Calibri" w:hAnsi="Calibri" w:cs="Calibri"/>
          <w:sz w:val="22"/>
          <w:szCs w:val="22"/>
        </w:rPr>
        <w:t>ou</w:t>
      </w:r>
      <w:r w:rsidR="001E1FB8" w:rsidRPr="005F5BDB">
        <w:rPr>
          <w:rFonts w:ascii="Calibri" w:hAnsi="Calibri" w:cs="Calibri"/>
          <w:sz w:val="22"/>
          <w:szCs w:val="22"/>
        </w:rPr>
        <w:t xml:space="preserve"> a </w:t>
      </w:r>
      <w:r w:rsidR="00545E68" w:rsidRPr="005F5BDB">
        <w:rPr>
          <w:rFonts w:ascii="Calibri" w:hAnsi="Calibri" w:cs="Calibri"/>
          <w:sz w:val="22"/>
          <w:szCs w:val="22"/>
        </w:rPr>
        <w:t xml:space="preserve">prosté jakýchkoliv vad </w:t>
      </w:r>
      <w:r w:rsidR="00F900B7" w:rsidRPr="005F5BDB">
        <w:rPr>
          <w:rFonts w:ascii="Calibri" w:hAnsi="Calibri" w:cs="Calibri"/>
          <w:sz w:val="22"/>
          <w:szCs w:val="22"/>
        </w:rPr>
        <w:t xml:space="preserve">převezme </w:t>
      </w:r>
      <w:r w:rsidR="00545E68" w:rsidRPr="005F5BDB">
        <w:rPr>
          <w:rFonts w:ascii="Calibri" w:hAnsi="Calibri" w:cs="Calibri"/>
          <w:sz w:val="22"/>
          <w:szCs w:val="22"/>
        </w:rPr>
        <w:t>a zaplat</w:t>
      </w:r>
      <w:r w:rsidR="00F900B7" w:rsidRPr="005F5BDB">
        <w:rPr>
          <w:rFonts w:ascii="Calibri" w:hAnsi="Calibri" w:cs="Calibri"/>
          <w:sz w:val="22"/>
          <w:szCs w:val="22"/>
        </w:rPr>
        <w:t>í</w:t>
      </w:r>
      <w:r w:rsidR="00545E68" w:rsidRPr="005F5BDB">
        <w:rPr>
          <w:rFonts w:ascii="Calibri" w:hAnsi="Calibri" w:cs="Calibri"/>
          <w:sz w:val="22"/>
          <w:szCs w:val="22"/>
        </w:rPr>
        <w:t xml:space="preserve"> </w:t>
      </w:r>
      <w:r w:rsidR="00F900B7" w:rsidRPr="005F5BDB">
        <w:rPr>
          <w:rFonts w:ascii="Calibri" w:hAnsi="Calibri" w:cs="Calibri"/>
          <w:sz w:val="22"/>
          <w:szCs w:val="22"/>
        </w:rPr>
        <w:t>za n</w:t>
      </w:r>
      <w:r w:rsidR="00EE14B2" w:rsidRPr="005F5BDB">
        <w:rPr>
          <w:rFonts w:ascii="Calibri" w:hAnsi="Calibri" w:cs="Calibri"/>
          <w:sz w:val="22"/>
          <w:szCs w:val="22"/>
        </w:rPr>
        <w:t>ě</w:t>
      </w:r>
      <w:r w:rsidR="00F900B7" w:rsidRPr="005F5BDB">
        <w:rPr>
          <w:rFonts w:ascii="Calibri" w:hAnsi="Calibri" w:cs="Calibri"/>
          <w:sz w:val="22"/>
          <w:szCs w:val="22"/>
        </w:rPr>
        <w:t xml:space="preserve"> </w:t>
      </w:r>
      <w:r w:rsidRPr="005F5BDB">
        <w:rPr>
          <w:rFonts w:ascii="Calibri" w:hAnsi="Calibri" w:cs="Calibri"/>
          <w:sz w:val="22"/>
          <w:szCs w:val="22"/>
        </w:rPr>
        <w:t>Prodávajícímu</w:t>
      </w:r>
      <w:r w:rsidR="00545E68" w:rsidRPr="005F5BDB">
        <w:rPr>
          <w:rFonts w:ascii="Calibri" w:hAnsi="Calibri" w:cs="Calibri"/>
          <w:sz w:val="22"/>
          <w:szCs w:val="22"/>
        </w:rPr>
        <w:t xml:space="preserve"> </w:t>
      </w:r>
      <w:r w:rsidRPr="005F5BDB">
        <w:rPr>
          <w:rFonts w:ascii="Calibri" w:hAnsi="Calibri" w:cs="Calibri"/>
          <w:sz w:val="22"/>
          <w:szCs w:val="22"/>
        </w:rPr>
        <w:t>kupní cenu</w:t>
      </w:r>
      <w:r w:rsidR="001E1FB8" w:rsidRPr="005F5BDB">
        <w:rPr>
          <w:rFonts w:ascii="Calibri" w:hAnsi="Calibri" w:cs="Calibri"/>
          <w:sz w:val="22"/>
          <w:szCs w:val="22"/>
        </w:rPr>
        <w:t xml:space="preserve"> </w:t>
      </w:r>
      <w:r w:rsidR="00545E68" w:rsidRPr="005F5BDB">
        <w:rPr>
          <w:rFonts w:ascii="Calibri" w:hAnsi="Calibri" w:cs="Calibri"/>
          <w:sz w:val="22"/>
          <w:szCs w:val="22"/>
        </w:rPr>
        <w:t>sjednanou v</w:t>
      </w:r>
      <w:r w:rsidR="009C0DCD">
        <w:rPr>
          <w:rFonts w:ascii="Calibri" w:hAnsi="Calibri" w:cs="Calibri"/>
          <w:sz w:val="22"/>
          <w:szCs w:val="22"/>
        </w:rPr>
        <w:t xml:space="preserve"> souladu s touto Rámcovou smlouvou v </w:t>
      </w:r>
      <w:r w:rsidR="00F900B7" w:rsidRPr="009C0DCD">
        <w:rPr>
          <w:rFonts w:ascii="Calibri" w:hAnsi="Calibri" w:cs="Calibri"/>
          <w:sz w:val="22"/>
          <w:szCs w:val="22"/>
        </w:rPr>
        <w:t xml:space="preserve">příslušné </w:t>
      </w:r>
      <w:r w:rsidR="00545E68" w:rsidRPr="009C0DCD">
        <w:rPr>
          <w:rFonts w:ascii="Calibri" w:hAnsi="Calibri" w:cs="Calibri"/>
          <w:sz w:val="22"/>
          <w:szCs w:val="22"/>
        </w:rPr>
        <w:t xml:space="preserve">Dílčí </w:t>
      </w:r>
      <w:r w:rsidR="00F900B7" w:rsidRPr="005F5BDB">
        <w:rPr>
          <w:rFonts w:ascii="Calibri" w:hAnsi="Calibri" w:cs="Calibri"/>
          <w:sz w:val="22"/>
          <w:szCs w:val="22"/>
        </w:rPr>
        <w:t>smlouvě</w:t>
      </w:r>
      <w:r w:rsidR="00545E68" w:rsidRPr="005F5BDB">
        <w:rPr>
          <w:rFonts w:ascii="Calibri" w:hAnsi="Calibri" w:cs="Calibri"/>
          <w:sz w:val="22"/>
          <w:szCs w:val="22"/>
        </w:rPr>
        <w:t>.</w:t>
      </w:r>
    </w:p>
    <w:p w14:paraId="4FABB71C" w14:textId="46E2E5EF" w:rsidR="00545E68" w:rsidRPr="005F5BDB" w:rsidRDefault="00545E68" w:rsidP="00106FFC">
      <w:pPr>
        <w:numPr>
          <w:ilvl w:val="0"/>
          <w:numId w:val="5"/>
        </w:numPr>
        <w:spacing w:before="60" w:after="120"/>
        <w:ind w:left="567" w:hanging="567"/>
        <w:jc w:val="both"/>
        <w:rPr>
          <w:rFonts w:ascii="Calibri" w:hAnsi="Calibri" w:cs="Calibri"/>
          <w:sz w:val="22"/>
          <w:szCs w:val="22"/>
        </w:rPr>
      </w:pPr>
      <w:r w:rsidRPr="005F5BDB">
        <w:rPr>
          <w:rFonts w:ascii="Calibri" w:hAnsi="Calibri" w:cs="Calibri"/>
          <w:sz w:val="22"/>
          <w:szCs w:val="22"/>
        </w:rPr>
        <w:t xml:space="preserve">Konkrétní specifikace </w:t>
      </w:r>
      <w:r w:rsidR="00EE14B2" w:rsidRPr="005F5BDB">
        <w:rPr>
          <w:rFonts w:ascii="Calibri" w:hAnsi="Calibri" w:cs="Calibri"/>
          <w:sz w:val="22"/>
          <w:szCs w:val="22"/>
        </w:rPr>
        <w:t>Věcí</w:t>
      </w:r>
      <w:r w:rsidRPr="005F5BDB">
        <w:rPr>
          <w:rFonts w:ascii="Calibri" w:hAnsi="Calibri" w:cs="Calibri"/>
          <w:sz w:val="22"/>
          <w:szCs w:val="22"/>
        </w:rPr>
        <w:t xml:space="preserve"> bude ve vztahu ke každé </w:t>
      </w:r>
      <w:r w:rsidR="00EE14B2" w:rsidRPr="005F5BDB">
        <w:rPr>
          <w:rFonts w:ascii="Calibri" w:hAnsi="Calibri" w:cs="Calibri"/>
          <w:sz w:val="22"/>
          <w:szCs w:val="22"/>
        </w:rPr>
        <w:t>Věci</w:t>
      </w:r>
      <w:r w:rsidR="00532F40" w:rsidRPr="005F5BDB">
        <w:rPr>
          <w:rFonts w:ascii="Calibri" w:hAnsi="Calibri" w:cs="Calibri"/>
          <w:sz w:val="22"/>
          <w:szCs w:val="22"/>
        </w:rPr>
        <w:t xml:space="preserve"> </w:t>
      </w:r>
      <w:r w:rsidRPr="005F5BDB">
        <w:rPr>
          <w:rFonts w:ascii="Calibri" w:hAnsi="Calibri" w:cs="Calibri"/>
          <w:sz w:val="22"/>
          <w:szCs w:val="22"/>
        </w:rPr>
        <w:t xml:space="preserve">vždy sjednána v příslušné </w:t>
      </w:r>
      <w:r w:rsidR="00DF135A" w:rsidRPr="005F5BDB">
        <w:rPr>
          <w:rFonts w:ascii="Calibri" w:hAnsi="Calibri" w:cs="Calibri"/>
          <w:sz w:val="22"/>
          <w:szCs w:val="22"/>
        </w:rPr>
        <w:t>D</w:t>
      </w:r>
      <w:r w:rsidR="004A2250" w:rsidRPr="005F5BDB">
        <w:rPr>
          <w:rFonts w:ascii="Calibri" w:hAnsi="Calibri" w:cs="Calibri"/>
          <w:sz w:val="22"/>
          <w:szCs w:val="22"/>
        </w:rPr>
        <w:t xml:space="preserve">ílčí </w:t>
      </w:r>
      <w:r w:rsidRPr="005F5BDB">
        <w:rPr>
          <w:rFonts w:ascii="Calibri" w:hAnsi="Calibri" w:cs="Calibri"/>
          <w:sz w:val="22"/>
          <w:szCs w:val="22"/>
        </w:rPr>
        <w:t xml:space="preserve">smlouvě uzavřené mezi </w:t>
      </w:r>
      <w:r w:rsidR="00DF135A" w:rsidRPr="005F5BDB">
        <w:rPr>
          <w:rFonts w:ascii="Calibri" w:hAnsi="Calibri" w:cs="Calibri"/>
          <w:sz w:val="22"/>
          <w:szCs w:val="22"/>
        </w:rPr>
        <w:t>Kupující</w:t>
      </w:r>
      <w:r w:rsidRPr="005F5BDB">
        <w:rPr>
          <w:rFonts w:ascii="Calibri" w:hAnsi="Calibri" w:cs="Calibri"/>
          <w:sz w:val="22"/>
          <w:szCs w:val="22"/>
        </w:rPr>
        <w:t xml:space="preserve">m a </w:t>
      </w:r>
      <w:r w:rsidR="00DF135A" w:rsidRPr="005F5BDB">
        <w:rPr>
          <w:rFonts w:ascii="Calibri" w:hAnsi="Calibri" w:cs="Calibri"/>
          <w:sz w:val="22"/>
          <w:szCs w:val="22"/>
        </w:rPr>
        <w:t>Prodávající</w:t>
      </w:r>
      <w:r w:rsidRPr="005F5BDB">
        <w:rPr>
          <w:rFonts w:ascii="Calibri" w:hAnsi="Calibri" w:cs="Calibri"/>
          <w:sz w:val="22"/>
          <w:szCs w:val="22"/>
        </w:rPr>
        <w:t xml:space="preserve">m na základě této </w:t>
      </w:r>
      <w:r w:rsidR="008170F4" w:rsidRPr="005F5BDB">
        <w:rPr>
          <w:rFonts w:ascii="Calibri" w:hAnsi="Calibri" w:cs="Calibri"/>
          <w:sz w:val="22"/>
          <w:szCs w:val="22"/>
        </w:rPr>
        <w:t>Rámcové</w:t>
      </w:r>
      <w:r w:rsidRPr="005F5BDB">
        <w:rPr>
          <w:rFonts w:ascii="Calibri" w:hAnsi="Calibri" w:cs="Calibri"/>
          <w:sz w:val="22"/>
          <w:szCs w:val="22"/>
        </w:rPr>
        <w:t xml:space="preserve"> smlouvy a postupem předvídaným v čl. </w:t>
      </w:r>
      <w:r w:rsidR="009C0DCD">
        <w:rPr>
          <w:rFonts w:ascii="Calibri" w:hAnsi="Calibri" w:cs="Calibri"/>
          <w:sz w:val="22"/>
          <w:szCs w:val="22"/>
        </w:rPr>
        <w:t>2</w:t>
      </w:r>
      <w:r w:rsidR="006E1B5C" w:rsidRPr="009C0DCD">
        <w:rPr>
          <w:rFonts w:ascii="Calibri" w:hAnsi="Calibri" w:cs="Calibri"/>
          <w:sz w:val="22"/>
          <w:szCs w:val="22"/>
        </w:rPr>
        <w:t>.</w:t>
      </w:r>
      <w:r w:rsidRPr="009C0DCD">
        <w:rPr>
          <w:rFonts w:ascii="Calibri" w:hAnsi="Calibri" w:cs="Calibri"/>
          <w:sz w:val="22"/>
          <w:szCs w:val="22"/>
        </w:rPr>
        <w:t xml:space="preserve"> této </w:t>
      </w:r>
      <w:r w:rsidR="008170F4" w:rsidRPr="005F5BDB">
        <w:rPr>
          <w:rFonts w:ascii="Calibri" w:hAnsi="Calibri" w:cs="Calibri"/>
          <w:sz w:val="22"/>
          <w:szCs w:val="22"/>
        </w:rPr>
        <w:t>Rámcové</w:t>
      </w:r>
      <w:r w:rsidR="00F900B7" w:rsidRPr="005F5BDB">
        <w:rPr>
          <w:rFonts w:ascii="Calibri" w:hAnsi="Calibri" w:cs="Calibri"/>
          <w:sz w:val="22"/>
          <w:szCs w:val="22"/>
        </w:rPr>
        <w:t xml:space="preserve"> </w:t>
      </w:r>
      <w:r w:rsidRPr="005F5BDB">
        <w:rPr>
          <w:rFonts w:ascii="Calibri" w:hAnsi="Calibri" w:cs="Calibri"/>
          <w:sz w:val="22"/>
          <w:szCs w:val="22"/>
        </w:rPr>
        <w:t>smlouvy (dále jen „</w:t>
      </w:r>
      <w:r w:rsidRPr="005F5BDB">
        <w:rPr>
          <w:rFonts w:ascii="Calibri" w:hAnsi="Calibri" w:cs="Calibri"/>
          <w:b/>
          <w:i/>
          <w:sz w:val="22"/>
          <w:szCs w:val="22"/>
        </w:rPr>
        <w:t>Dílčí smlouva</w:t>
      </w:r>
      <w:r w:rsidRPr="005F5BDB">
        <w:rPr>
          <w:rFonts w:ascii="Calibri" w:hAnsi="Calibri" w:cs="Calibri"/>
          <w:sz w:val="22"/>
          <w:szCs w:val="22"/>
        </w:rPr>
        <w:t>“).</w:t>
      </w:r>
    </w:p>
    <w:p w14:paraId="17BCEF45" w14:textId="36A1AEE6" w:rsidR="00080412" w:rsidRPr="00F237CB" w:rsidRDefault="0061365C" w:rsidP="00106FFC">
      <w:pPr>
        <w:numPr>
          <w:ilvl w:val="0"/>
          <w:numId w:val="5"/>
        </w:numPr>
        <w:spacing w:before="60" w:after="120"/>
        <w:ind w:left="567" w:hanging="567"/>
        <w:jc w:val="both"/>
        <w:rPr>
          <w:rFonts w:ascii="Calibri" w:hAnsi="Calibri" w:cs="Calibri"/>
          <w:sz w:val="22"/>
          <w:szCs w:val="22"/>
        </w:rPr>
      </w:pPr>
      <w:r w:rsidRPr="00F237CB">
        <w:rPr>
          <w:rFonts w:ascii="Calibri" w:hAnsi="Calibri" w:cs="Calibri"/>
          <w:sz w:val="22"/>
          <w:szCs w:val="22"/>
        </w:rPr>
        <w:t>Kupující stanovuje předpokládaný rozsah plnění poskytovaných Prodávajícím na základě Dílčích smluv po dobu účinnosti této Rámcové smlouvy</w:t>
      </w:r>
      <w:r w:rsidR="00FB0B4E" w:rsidRPr="00F237CB">
        <w:rPr>
          <w:rFonts w:ascii="Calibri" w:hAnsi="Calibri" w:cs="Calibri"/>
          <w:sz w:val="22"/>
          <w:szCs w:val="22"/>
        </w:rPr>
        <w:t xml:space="preserve"> (dále jen „</w:t>
      </w:r>
      <w:r w:rsidR="00FB0B4E" w:rsidRPr="00F237CB">
        <w:rPr>
          <w:rFonts w:ascii="Calibri" w:hAnsi="Calibri" w:cs="Calibri"/>
          <w:b/>
          <w:bCs/>
          <w:i/>
          <w:iCs/>
          <w:sz w:val="22"/>
          <w:szCs w:val="22"/>
        </w:rPr>
        <w:t>předpokládaný rozsah plnění</w:t>
      </w:r>
      <w:r w:rsidR="00FB0B4E" w:rsidRPr="00F237CB">
        <w:rPr>
          <w:rFonts w:ascii="Calibri" w:hAnsi="Calibri" w:cs="Calibri"/>
          <w:sz w:val="22"/>
          <w:szCs w:val="22"/>
        </w:rPr>
        <w:t xml:space="preserve">“). </w:t>
      </w:r>
    </w:p>
    <w:p w14:paraId="187C5469" w14:textId="5236BE3F" w:rsidR="0061365C" w:rsidRPr="001E3F42" w:rsidRDefault="0061365C" w:rsidP="00106FFC">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106FFC">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5104A639" w:rsidR="0010731A" w:rsidRPr="00A54138" w:rsidRDefault="005055CD" w:rsidP="00A54138">
      <w:pPr>
        <w:pStyle w:val="Odstavecseseznamem"/>
        <w:numPr>
          <w:ilvl w:val="0"/>
          <w:numId w:val="5"/>
        </w:numPr>
        <w:ind w:left="567" w:hanging="567"/>
        <w:jc w:val="both"/>
        <w:rPr>
          <w:rFonts w:asciiTheme="minorHAnsi" w:hAnsiTheme="minorHAnsi" w:cstheme="minorHAnsi"/>
          <w:sz w:val="22"/>
          <w:szCs w:val="22"/>
        </w:rPr>
      </w:pPr>
      <w:r w:rsidRPr="00A54138">
        <w:rPr>
          <w:rFonts w:asciiTheme="minorHAnsi" w:hAnsiTheme="minorHAnsi" w:cstheme="minorHAnsi"/>
          <w:sz w:val="22"/>
          <w:szCs w:val="22"/>
        </w:rPr>
        <w:t xml:space="preserve">Jsou-li předmětem Rámcové smlouvy </w:t>
      </w:r>
      <w:r w:rsidR="00823DB7" w:rsidRPr="00A54138">
        <w:rPr>
          <w:rFonts w:asciiTheme="minorHAnsi" w:hAnsiTheme="minorHAnsi" w:cstheme="minorHAnsi"/>
          <w:sz w:val="22"/>
          <w:szCs w:val="22"/>
        </w:rPr>
        <w:t xml:space="preserve">či Dílčí smlouvy uzavřené na základě této Rámcové smlouvy </w:t>
      </w:r>
      <w:r w:rsidRPr="00A54138">
        <w:rPr>
          <w:rFonts w:asciiTheme="minorHAnsi" w:hAnsiTheme="minorHAnsi" w:cstheme="minorHAnsi"/>
          <w:sz w:val="22"/>
          <w:szCs w:val="22"/>
        </w:rPr>
        <w:t xml:space="preserve">Věci, u nichž </w:t>
      </w:r>
      <w:r w:rsidR="00126EA6" w:rsidRPr="00A54138">
        <w:rPr>
          <w:rFonts w:asciiTheme="minorHAnsi" w:hAnsiTheme="minorHAnsi" w:cstheme="minorHAnsi"/>
          <w:sz w:val="22"/>
          <w:szCs w:val="22"/>
        </w:rPr>
        <w:t>je předpis</w:t>
      </w:r>
      <w:r w:rsidR="00610159" w:rsidRPr="00A54138">
        <w:rPr>
          <w:rFonts w:asciiTheme="minorHAnsi" w:hAnsiTheme="minorHAnsi" w:cstheme="minorHAnsi"/>
          <w:sz w:val="22"/>
          <w:szCs w:val="22"/>
        </w:rPr>
        <w:t>y</w:t>
      </w:r>
      <w:r w:rsidR="00126EA6" w:rsidRPr="00A54138">
        <w:rPr>
          <w:rFonts w:asciiTheme="minorHAnsi" w:hAnsiTheme="minorHAnsi" w:cstheme="minorHAnsi"/>
          <w:sz w:val="22"/>
          <w:szCs w:val="22"/>
        </w:rPr>
        <w:t xml:space="preserve"> Českých drah, a.s. ČD V6/</w:t>
      </w:r>
      <w:r w:rsidR="00274579" w:rsidRPr="00A54138">
        <w:rPr>
          <w:rFonts w:asciiTheme="minorHAnsi" w:hAnsiTheme="minorHAnsi" w:cstheme="minorHAnsi"/>
          <w:sz w:val="22"/>
          <w:szCs w:val="22"/>
        </w:rPr>
        <w:t>1</w:t>
      </w:r>
      <w:r w:rsidR="00126EA6" w:rsidRPr="00A54138">
        <w:rPr>
          <w:rFonts w:asciiTheme="minorHAnsi" w:hAnsiTheme="minorHAnsi" w:cstheme="minorHAnsi"/>
          <w:sz w:val="22"/>
          <w:szCs w:val="22"/>
        </w:rPr>
        <w:t xml:space="preserve"> - Předpis pro železniční kolejová vozidla stanovující pravidla pro provádění zákaznických systémových auditů dodavatelů železničních kolejových vozidel a jejich dílů (dále </w:t>
      </w:r>
      <w:r w:rsidR="00DB349C" w:rsidRPr="00A54138">
        <w:rPr>
          <w:rFonts w:asciiTheme="minorHAnsi" w:hAnsiTheme="minorHAnsi" w:cstheme="minorHAnsi"/>
          <w:sz w:val="22"/>
          <w:szCs w:val="22"/>
        </w:rPr>
        <w:t>jen</w:t>
      </w:r>
      <w:r w:rsidR="00126EA6" w:rsidRPr="00A54138">
        <w:rPr>
          <w:rFonts w:asciiTheme="minorHAnsi" w:hAnsiTheme="minorHAnsi" w:cstheme="minorHAnsi"/>
          <w:sz w:val="22"/>
          <w:szCs w:val="22"/>
        </w:rPr>
        <w:t xml:space="preserve"> „</w:t>
      </w:r>
      <w:r w:rsidR="00126EA6" w:rsidRPr="00A54138">
        <w:rPr>
          <w:rFonts w:asciiTheme="minorHAnsi" w:hAnsiTheme="minorHAnsi" w:cstheme="minorHAnsi"/>
          <w:b/>
          <w:bCs/>
          <w:i/>
          <w:iCs/>
          <w:sz w:val="22"/>
          <w:szCs w:val="22"/>
        </w:rPr>
        <w:t xml:space="preserve">Předpis </w:t>
      </w:r>
      <w:r w:rsidR="00120A54" w:rsidRPr="00A54138">
        <w:rPr>
          <w:rFonts w:asciiTheme="minorHAnsi" w:hAnsiTheme="minorHAnsi" w:cstheme="minorHAnsi"/>
          <w:b/>
          <w:bCs/>
          <w:i/>
          <w:iCs/>
          <w:sz w:val="22"/>
          <w:szCs w:val="22"/>
        </w:rPr>
        <w:t>ČD</w:t>
      </w:r>
      <w:r w:rsidR="00126EA6" w:rsidRPr="00A54138">
        <w:rPr>
          <w:rFonts w:asciiTheme="minorHAnsi" w:hAnsiTheme="minorHAnsi" w:cstheme="minorHAnsi"/>
          <w:b/>
          <w:bCs/>
          <w:i/>
          <w:iCs/>
          <w:sz w:val="22"/>
          <w:szCs w:val="22"/>
        </w:rPr>
        <w:t xml:space="preserve"> V6/</w:t>
      </w:r>
      <w:r w:rsidR="00274579" w:rsidRPr="00A54138">
        <w:rPr>
          <w:rFonts w:asciiTheme="minorHAnsi" w:hAnsiTheme="minorHAnsi" w:cstheme="minorHAnsi"/>
          <w:b/>
          <w:bCs/>
          <w:i/>
          <w:iCs/>
          <w:sz w:val="22"/>
          <w:szCs w:val="22"/>
        </w:rPr>
        <w:t>1</w:t>
      </w:r>
      <w:r w:rsidR="00126EA6" w:rsidRPr="00A54138">
        <w:rPr>
          <w:rFonts w:asciiTheme="minorHAnsi" w:hAnsiTheme="minorHAnsi" w:cstheme="minorHAnsi"/>
          <w:sz w:val="22"/>
          <w:szCs w:val="22"/>
        </w:rPr>
        <w:t xml:space="preserve">“) </w:t>
      </w:r>
      <w:r w:rsidR="00610159" w:rsidRPr="00A54138">
        <w:rPr>
          <w:rFonts w:asciiTheme="minorHAnsi" w:hAnsiTheme="minorHAnsi" w:cstheme="minorHAnsi"/>
          <w:sz w:val="22"/>
          <w:szCs w:val="22"/>
        </w:rPr>
        <w:t>a/nebo ČD V6/2 - Předpisu pro železniční kolejová vozidla stanovující pravidla pro provádění zákaznických systémových auditů dodavatelů železničních kolejových vozidel a jejich dílů (dále jen „</w:t>
      </w:r>
      <w:r w:rsidR="00610159" w:rsidRPr="00A54138">
        <w:rPr>
          <w:rFonts w:asciiTheme="minorHAnsi" w:hAnsiTheme="minorHAnsi" w:cstheme="minorHAnsi"/>
          <w:b/>
          <w:bCs/>
          <w:i/>
          <w:iCs/>
          <w:sz w:val="22"/>
          <w:szCs w:val="22"/>
        </w:rPr>
        <w:t>Předpis ČD V6/2</w:t>
      </w:r>
      <w:r w:rsidR="00610159" w:rsidRPr="00A54138">
        <w:rPr>
          <w:rFonts w:asciiTheme="minorHAnsi" w:hAnsiTheme="minorHAnsi" w:cstheme="minorHAnsi"/>
          <w:sz w:val="22"/>
          <w:szCs w:val="22"/>
        </w:rPr>
        <w:t>“) vyžadováno</w:t>
      </w:r>
      <w:r w:rsidR="00126EA6" w:rsidRPr="00A54138">
        <w:rPr>
          <w:rFonts w:asciiTheme="minorHAnsi" w:hAnsiTheme="minorHAnsi" w:cstheme="minorHAnsi"/>
          <w:sz w:val="22"/>
          <w:szCs w:val="22"/>
        </w:rPr>
        <w:t>,</w:t>
      </w:r>
      <w:r w:rsidRPr="00A54138">
        <w:rPr>
          <w:rFonts w:asciiTheme="minorHAnsi" w:hAnsiTheme="minorHAnsi" w:cstheme="minorHAnsi"/>
          <w:sz w:val="22"/>
          <w:szCs w:val="22"/>
        </w:rPr>
        <w:t xml:space="preserve"> aby </w:t>
      </w:r>
      <w:r w:rsidR="00126EA6" w:rsidRPr="00A54138">
        <w:rPr>
          <w:rFonts w:asciiTheme="minorHAnsi" w:hAnsiTheme="minorHAnsi" w:cstheme="minorHAnsi"/>
          <w:sz w:val="22"/>
          <w:szCs w:val="22"/>
        </w:rPr>
        <w:t xml:space="preserve">dodavatel takových Věcí </w:t>
      </w:r>
      <w:r w:rsidRPr="00A54138">
        <w:rPr>
          <w:rFonts w:asciiTheme="minorHAnsi" w:hAnsiTheme="minorHAnsi" w:cstheme="minorHAnsi"/>
          <w:sz w:val="22"/>
          <w:szCs w:val="22"/>
        </w:rPr>
        <w:t xml:space="preserve">disponoval osvědčením </w:t>
      </w:r>
      <w:r w:rsidR="007F6C9A" w:rsidRPr="00A54138">
        <w:rPr>
          <w:rFonts w:asciiTheme="minorHAnsi" w:hAnsiTheme="minorHAnsi" w:cstheme="minorHAnsi"/>
          <w:sz w:val="22"/>
          <w:szCs w:val="22"/>
        </w:rPr>
        <w:t xml:space="preserve">o způsobilosti </w:t>
      </w:r>
      <w:r w:rsidR="00126EA6" w:rsidRPr="00A54138">
        <w:rPr>
          <w:rFonts w:asciiTheme="minorHAnsi" w:hAnsiTheme="minorHAnsi" w:cstheme="minorHAnsi"/>
          <w:sz w:val="22"/>
          <w:szCs w:val="22"/>
        </w:rPr>
        <w:t>dodavatele</w:t>
      </w:r>
      <w:r w:rsidR="007F6C9A" w:rsidRPr="00A54138">
        <w:rPr>
          <w:rFonts w:asciiTheme="minorHAnsi" w:hAnsiTheme="minorHAnsi" w:cstheme="minorHAnsi"/>
          <w:sz w:val="22"/>
          <w:szCs w:val="22"/>
        </w:rPr>
        <w:t xml:space="preserve"> ve smyslu </w:t>
      </w:r>
      <w:r w:rsidR="00120A54" w:rsidRPr="00A54138">
        <w:rPr>
          <w:rFonts w:asciiTheme="minorHAnsi" w:hAnsiTheme="minorHAnsi" w:cstheme="minorHAnsi"/>
          <w:sz w:val="22"/>
          <w:szCs w:val="22"/>
        </w:rPr>
        <w:t>P</w:t>
      </w:r>
      <w:r w:rsidR="007F6C9A" w:rsidRPr="00A54138">
        <w:rPr>
          <w:rFonts w:asciiTheme="minorHAnsi" w:hAnsiTheme="minorHAnsi" w:cstheme="minorHAnsi"/>
          <w:sz w:val="22"/>
          <w:szCs w:val="22"/>
        </w:rPr>
        <w:t xml:space="preserve">ředpisu </w:t>
      </w:r>
      <w:r w:rsidR="00120A54" w:rsidRPr="00A54138">
        <w:rPr>
          <w:rFonts w:asciiTheme="minorHAnsi" w:hAnsiTheme="minorHAnsi" w:cstheme="minorHAnsi"/>
          <w:sz w:val="22"/>
          <w:szCs w:val="22"/>
        </w:rPr>
        <w:t>ČD</w:t>
      </w:r>
      <w:r w:rsidR="00126EA6" w:rsidRPr="00A54138">
        <w:rPr>
          <w:rFonts w:asciiTheme="minorHAnsi" w:hAnsiTheme="minorHAnsi" w:cstheme="minorHAnsi"/>
          <w:sz w:val="22"/>
          <w:szCs w:val="22"/>
        </w:rPr>
        <w:t xml:space="preserve"> </w:t>
      </w:r>
      <w:r w:rsidR="007F6C9A" w:rsidRPr="00A54138">
        <w:rPr>
          <w:rFonts w:asciiTheme="minorHAnsi" w:hAnsiTheme="minorHAnsi" w:cstheme="minorHAnsi"/>
          <w:sz w:val="22"/>
          <w:szCs w:val="22"/>
        </w:rPr>
        <w:t>V6/</w:t>
      </w:r>
      <w:r w:rsidR="00274579" w:rsidRPr="00A54138">
        <w:rPr>
          <w:rFonts w:asciiTheme="minorHAnsi" w:hAnsiTheme="minorHAnsi" w:cstheme="minorHAnsi"/>
          <w:sz w:val="22"/>
          <w:szCs w:val="22"/>
        </w:rPr>
        <w:t>1</w:t>
      </w:r>
      <w:r w:rsidR="00610159" w:rsidRPr="00A54138">
        <w:rPr>
          <w:rFonts w:asciiTheme="minorHAnsi" w:hAnsiTheme="minorHAnsi" w:cstheme="minorHAnsi"/>
          <w:sz w:val="22"/>
          <w:szCs w:val="22"/>
        </w:rPr>
        <w:t xml:space="preserve"> a/nebo Předpisu ČD V6/2</w:t>
      </w:r>
      <w:r w:rsidR="00126EA6" w:rsidRPr="00A54138">
        <w:rPr>
          <w:rFonts w:asciiTheme="minorHAnsi" w:hAnsiTheme="minorHAnsi" w:cstheme="minorHAnsi"/>
          <w:sz w:val="22"/>
          <w:szCs w:val="22"/>
        </w:rPr>
        <w:t>,</w:t>
      </w:r>
      <w:r w:rsidR="007F6C9A" w:rsidRPr="00A54138">
        <w:rPr>
          <w:rFonts w:asciiTheme="minorHAnsi" w:hAnsiTheme="minorHAnsi" w:cstheme="minorHAnsi"/>
          <w:sz w:val="22"/>
          <w:szCs w:val="22"/>
        </w:rPr>
        <w:t xml:space="preserve"> tedy osvědčení</w:t>
      </w:r>
      <w:r w:rsidR="00126EA6" w:rsidRPr="00A54138">
        <w:rPr>
          <w:rFonts w:asciiTheme="minorHAnsi" w:hAnsiTheme="minorHAnsi" w:cstheme="minorHAnsi"/>
          <w:sz w:val="22"/>
          <w:szCs w:val="22"/>
        </w:rPr>
        <w:t>m</w:t>
      </w:r>
      <w:r w:rsidR="007F6C9A" w:rsidRPr="00A54138">
        <w:rPr>
          <w:rFonts w:asciiTheme="minorHAnsi" w:hAnsiTheme="minorHAnsi" w:cstheme="minorHAnsi"/>
          <w:sz w:val="22"/>
          <w:szCs w:val="22"/>
        </w:rPr>
        <w:t xml:space="preserve"> ověřující</w:t>
      </w:r>
      <w:r w:rsidR="00126EA6" w:rsidRPr="00A54138">
        <w:rPr>
          <w:rFonts w:asciiTheme="minorHAnsi" w:hAnsiTheme="minorHAnsi" w:cstheme="minorHAnsi"/>
          <w:sz w:val="22"/>
          <w:szCs w:val="22"/>
        </w:rPr>
        <w:t>m</w:t>
      </w:r>
      <w:r w:rsidR="007F6C9A" w:rsidRPr="00A54138">
        <w:rPr>
          <w:rFonts w:asciiTheme="minorHAnsi" w:hAnsiTheme="minorHAnsi" w:cstheme="minorHAnsi"/>
          <w:sz w:val="22"/>
          <w:szCs w:val="22"/>
        </w:rPr>
        <w:t xml:space="preserve"> výrobní proces</w:t>
      </w:r>
      <w:r w:rsidR="00126EA6" w:rsidRPr="00A54138">
        <w:rPr>
          <w:rFonts w:asciiTheme="minorHAnsi" w:hAnsiTheme="minorHAnsi" w:cstheme="minorHAnsi"/>
          <w:sz w:val="22"/>
          <w:szCs w:val="22"/>
        </w:rPr>
        <w:t>,</w:t>
      </w:r>
      <w:r w:rsidR="007F6C9A" w:rsidRPr="00A54138">
        <w:rPr>
          <w:rFonts w:asciiTheme="minorHAnsi" w:hAnsiTheme="minorHAnsi" w:cstheme="minorHAnsi"/>
          <w:sz w:val="22"/>
          <w:szCs w:val="22"/>
        </w:rPr>
        <w:t xml:space="preserve"> případně zajištění jakosti dílů pro kolejová vozidla (dále jen „</w:t>
      </w:r>
      <w:r w:rsidR="007F6C9A" w:rsidRPr="00A54138">
        <w:rPr>
          <w:rFonts w:asciiTheme="minorHAnsi" w:hAnsiTheme="minorHAnsi" w:cstheme="minorHAnsi"/>
          <w:b/>
          <w:bCs/>
          <w:i/>
          <w:iCs/>
          <w:sz w:val="22"/>
          <w:szCs w:val="22"/>
        </w:rPr>
        <w:t>Osvědčení</w:t>
      </w:r>
      <w:r w:rsidR="007F6C9A" w:rsidRPr="00A54138">
        <w:rPr>
          <w:rFonts w:asciiTheme="minorHAnsi" w:hAnsiTheme="minorHAnsi" w:cstheme="minorHAnsi"/>
          <w:sz w:val="22"/>
          <w:szCs w:val="22"/>
        </w:rPr>
        <w:t>“)</w:t>
      </w:r>
      <w:r w:rsidR="00126EA6" w:rsidRPr="00A54138">
        <w:rPr>
          <w:rFonts w:asciiTheme="minorHAnsi" w:hAnsiTheme="minorHAnsi" w:cstheme="minorHAnsi"/>
          <w:sz w:val="22"/>
          <w:szCs w:val="22"/>
        </w:rPr>
        <w:t xml:space="preserve">, prohlašuje Prodávající, že disponuje takovým </w:t>
      </w:r>
      <w:r w:rsidRPr="00A54138">
        <w:rPr>
          <w:rFonts w:asciiTheme="minorHAnsi" w:hAnsiTheme="minorHAnsi" w:cstheme="minorHAnsi"/>
          <w:sz w:val="22"/>
          <w:szCs w:val="22"/>
        </w:rPr>
        <w:t>Osvědčení</w:t>
      </w:r>
      <w:r w:rsidR="00126EA6" w:rsidRPr="00A54138">
        <w:rPr>
          <w:rFonts w:asciiTheme="minorHAnsi" w:hAnsiTheme="minorHAnsi" w:cstheme="minorHAnsi"/>
          <w:sz w:val="22"/>
          <w:szCs w:val="22"/>
        </w:rPr>
        <w:t>m. Osvědčení</w:t>
      </w:r>
      <w:r w:rsidRPr="00A54138">
        <w:rPr>
          <w:rFonts w:asciiTheme="minorHAnsi" w:hAnsiTheme="minorHAnsi" w:cstheme="minorHAnsi"/>
          <w:sz w:val="22"/>
          <w:szCs w:val="22"/>
        </w:rPr>
        <w:t xml:space="preserve"> Prodávajícího</w:t>
      </w:r>
      <w:r w:rsidR="007F6C9A" w:rsidRPr="00A54138">
        <w:rPr>
          <w:rFonts w:asciiTheme="minorHAnsi" w:hAnsiTheme="minorHAnsi" w:cstheme="minorHAnsi"/>
          <w:sz w:val="22"/>
          <w:szCs w:val="22"/>
        </w:rPr>
        <w:t xml:space="preserve"> musí pokrývat celý předmět Rámcové </w:t>
      </w:r>
      <w:r w:rsidR="00823DB7" w:rsidRPr="00A54138">
        <w:rPr>
          <w:rFonts w:asciiTheme="minorHAnsi" w:hAnsiTheme="minorHAnsi" w:cstheme="minorHAnsi"/>
          <w:sz w:val="22"/>
          <w:szCs w:val="22"/>
        </w:rPr>
        <w:t xml:space="preserve">a příslušné Dílčí </w:t>
      </w:r>
      <w:r w:rsidR="007F6C9A" w:rsidRPr="00A54138">
        <w:rPr>
          <w:rFonts w:asciiTheme="minorHAnsi" w:hAnsiTheme="minorHAnsi" w:cstheme="minorHAnsi"/>
          <w:sz w:val="22"/>
          <w:szCs w:val="22"/>
        </w:rPr>
        <w:t xml:space="preserve">smlouvy a u poddodavatelů Prodávajícího </w:t>
      </w:r>
      <w:r w:rsidRPr="00A54138">
        <w:rPr>
          <w:rFonts w:asciiTheme="minorHAnsi" w:hAnsiTheme="minorHAnsi" w:cstheme="minorHAnsi"/>
          <w:sz w:val="22"/>
          <w:szCs w:val="22"/>
        </w:rPr>
        <w:t xml:space="preserve">musí pokrývat </w:t>
      </w:r>
      <w:r w:rsidR="007F6C9A" w:rsidRPr="00A54138">
        <w:rPr>
          <w:rFonts w:asciiTheme="minorHAnsi" w:hAnsiTheme="minorHAnsi" w:cstheme="minorHAnsi"/>
          <w:sz w:val="22"/>
          <w:szCs w:val="22"/>
        </w:rPr>
        <w:t xml:space="preserve">rozsah plnění, které bude poskytováno prostřednictvím </w:t>
      </w:r>
      <w:r w:rsidRPr="00A54138">
        <w:rPr>
          <w:rFonts w:asciiTheme="minorHAnsi" w:hAnsiTheme="minorHAnsi" w:cstheme="minorHAnsi"/>
          <w:sz w:val="22"/>
          <w:szCs w:val="22"/>
        </w:rPr>
        <w:t xml:space="preserve">těchto </w:t>
      </w:r>
      <w:r w:rsidR="007F6C9A" w:rsidRPr="00A54138">
        <w:rPr>
          <w:rFonts w:asciiTheme="minorHAnsi" w:hAnsiTheme="minorHAnsi" w:cstheme="minorHAnsi"/>
          <w:sz w:val="22"/>
          <w:szCs w:val="22"/>
        </w:rPr>
        <w:t>poddodavatelů.</w:t>
      </w:r>
      <w:r w:rsidR="00A54138" w:rsidRPr="00A54138">
        <w:t xml:space="preserve"> </w:t>
      </w:r>
      <w:r w:rsidR="00A54138" w:rsidRPr="00A54138">
        <w:rPr>
          <w:rFonts w:asciiTheme="minorHAnsi" w:hAnsiTheme="minorHAnsi" w:cstheme="minorHAnsi"/>
          <w:sz w:val="22"/>
          <w:szCs w:val="22"/>
        </w:rPr>
        <w:t>Prodávající je dále povinen splnit závazek v souladu s příslušnými normami a vyhláškami, jakož i právními předpisy, zejména pak zákonem č. 263/2016 Sb., atomový zákon, ve znění pozdějších předpisů.</w:t>
      </w:r>
    </w:p>
    <w:p w14:paraId="099C8F68" w14:textId="534A0465" w:rsidR="00545E68" w:rsidRDefault="00DF135A" w:rsidP="00106FFC">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9978715" w14:textId="77777777" w:rsidR="00C11251" w:rsidRDefault="00C11251" w:rsidP="00C11251">
      <w:pPr>
        <w:spacing w:before="60" w:after="120"/>
        <w:ind w:left="567"/>
        <w:jc w:val="both"/>
        <w:rPr>
          <w:rFonts w:ascii="Calibri" w:hAnsi="Calibri" w:cs="Calibri"/>
          <w:sz w:val="22"/>
          <w:szCs w:val="22"/>
        </w:rPr>
      </w:pPr>
    </w:p>
    <w:p w14:paraId="2C924D5F" w14:textId="6809439F" w:rsidR="00AF0F65"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6741216" w14:textId="77777777" w:rsidR="0034465B" w:rsidRPr="005F5BDB" w:rsidRDefault="0034465B" w:rsidP="009C0DCD">
      <w:pPr>
        <w:spacing w:before="60" w:after="120"/>
        <w:jc w:val="center"/>
        <w:rPr>
          <w:rFonts w:ascii="Calibri" w:hAnsi="Calibri" w:cs="Calibri"/>
          <w:b/>
          <w:sz w:val="22"/>
          <w:szCs w:val="22"/>
        </w:rPr>
      </w:pP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7777777"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posoudí a v případě, že má zájem o uzavření Dílčí smlouvy, tuto objednávku Kupujícího písemně potvrdí a opatří podpisem oprávněné osoby Prodávajícího a razítkem Prodávajícího a doručí </w:t>
      </w:r>
      <w:r w:rsidRPr="00377984">
        <w:rPr>
          <w:rFonts w:ascii="Calibri" w:hAnsi="Calibri" w:cs="Calibri"/>
          <w:sz w:val="22"/>
          <w:szCs w:val="22"/>
        </w:rPr>
        <w:lastRenderedPageBreak/>
        <w:t xml:space="preserve">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337E22C6" w14:textId="77777777" w:rsidR="008742A9" w:rsidRDefault="00D85B4E" w:rsidP="005D5C81">
      <w:pPr>
        <w:numPr>
          <w:ilvl w:val="1"/>
          <w:numId w:val="1"/>
        </w:numPr>
        <w:tabs>
          <w:tab w:val="clear" w:pos="360"/>
          <w:tab w:val="num" w:pos="567"/>
        </w:tabs>
        <w:spacing w:before="60"/>
        <w:ind w:left="567" w:hanging="567"/>
        <w:jc w:val="both"/>
        <w:rPr>
          <w:rFonts w:ascii="Calibri" w:hAnsi="Calibri" w:cs="Calibri"/>
          <w:sz w:val="22"/>
          <w:szCs w:val="22"/>
        </w:rPr>
      </w:pPr>
      <w:r w:rsidRPr="008742A9">
        <w:rPr>
          <w:rFonts w:ascii="Calibri" w:hAnsi="Calibri" w:cs="Calibri"/>
          <w:sz w:val="22"/>
          <w:szCs w:val="22"/>
        </w:rPr>
        <w:t>Doručením písemného potvrzení akceptace nabídky zpět Kupujícímu dojde k uzavření příslušné Dílčí smlouvy.</w:t>
      </w:r>
      <w:r w:rsidR="008742A9" w:rsidRPr="008742A9">
        <w:rPr>
          <w:rFonts w:ascii="Calibri" w:hAnsi="Calibri" w:cs="Calibri"/>
          <w:sz w:val="22"/>
          <w:szCs w:val="22"/>
        </w:rPr>
        <w:t xml:space="preserve"> </w:t>
      </w:r>
      <w:r w:rsidRPr="008742A9">
        <w:rPr>
          <w:rFonts w:ascii="Calibri" w:hAnsi="Calibri" w:cs="Calibri"/>
          <w:sz w:val="22"/>
          <w:szCs w:val="22"/>
        </w:rPr>
        <w:t xml:space="preserve"> </w:t>
      </w:r>
      <w:r w:rsidR="008742A9" w:rsidRPr="008742A9">
        <w:rPr>
          <w:rFonts w:ascii="Calibri" w:hAnsi="Calibri" w:cs="Calibri"/>
          <w:sz w:val="22"/>
          <w:szCs w:val="22"/>
        </w:rPr>
        <w:t>K přijetí nabídky nedojde pouhým chováním, zejména poskytnutím nebo přijetím plnění; to neplatí tehdy, nevyjádří</w:t>
      </w:r>
      <w:r w:rsidRPr="008742A9">
        <w:rPr>
          <w:rFonts w:ascii="Calibri" w:hAnsi="Calibri" w:cs="Calibri"/>
          <w:sz w:val="22"/>
          <w:szCs w:val="22"/>
        </w:rPr>
        <w:t xml:space="preserve">-li se Prodávající k objednávce Kupujícího podle předchozího odstavce této Rámcové smlouvy do </w:t>
      </w:r>
      <w:r w:rsidR="00504FF2" w:rsidRPr="008742A9">
        <w:rPr>
          <w:rFonts w:ascii="Calibri" w:hAnsi="Calibri" w:cs="Calibri"/>
          <w:sz w:val="22"/>
          <w:szCs w:val="22"/>
        </w:rPr>
        <w:t>sedmi kalendářních</w:t>
      </w:r>
      <w:r w:rsidRPr="008742A9">
        <w:rPr>
          <w:rFonts w:ascii="Calibri" w:hAnsi="Calibri" w:cs="Calibri"/>
          <w:sz w:val="22"/>
          <w:szCs w:val="22"/>
        </w:rPr>
        <w:t xml:space="preserve"> dní ode dne jejího doručení Prodávajícímu, </w:t>
      </w:r>
      <w:r w:rsidR="008742A9" w:rsidRPr="008742A9">
        <w:rPr>
          <w:rFonts w:ascii="Calibri" w:hAnsi="Calibri" w:cs="Calibri"/>
          <w:sz w:val="22"/>
          <w:szCs w:val="22"/>
        </w:rPr>
        <w:t xml:space="preserve">přičemž marným uplynutím této lhůty se </w:t>
      </w:r>
      <w:r w:rsidRPr="008742A9">
        <w:rPr>
          <w:rFonts w:ascii="Calibri" w:hAnsi="Calibri" w:cs="Calibri"/>
          <w:sz w:val="22"/>
          <w:szCs w:val="22"/>
        </w:rPr>
        <w:t xml:space="preserve">má se za to, že s uzavřením Dílčí smlouvy na základě příslušné objednávky Kupujícího souhlasí. </w:t>
      </w:r>
    </w:p>
    <w:p w14:paraId="365463F9" w14:textId="37579BD6" w:rsidR="00445A8E" w:rsidRPr="008742A9" w:rsidRDefault="00D85B4E" w:rsidP="00AC6643">
      <w:pPr>
        <w:numPr>
          <w:ilvl w:val="1"/>
          <w:numId w:val="1"/>
        </w:numPr>
        <w:tabs>
          <w:tab w:val="clear" w:pos="360"/>
          <w:tab w:val="num" w:pos="567"/>
        </w:tabs>
        <w:spacing w:before="60"/>
        <w:ind w:left="567" w:hanging="567"/>
        <w:jc w:val="both"/>
        <w:rPr>
          <w:rFonts w:ascii="Calibri" w:hAnsi="Calibri" w:cs="Calibri"/>
          <w:b/>
          <w:sz w:val="22"/>
          <w:szCs w:val="22"/>
        </w:rPr>
      </w:pPr>
      <w:r w:rsidRPr="008742A9">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sidRPr="008742A9">
        <w:rPr>
          <w:rFonts w:ascii="Calibri" w:hAnsi="Calibri" w:cs="Calibri"/>
          <w:sz w:val="22"/>
          <w:szCs w:val="22"/>
        </w:rPr>
        <w:t xml:space="preserve">Dílčí </w:t>
      </w:r>
      <w:r w:rsidRPr="008742A9">
        <w:rPr>
          <w:rFonts w:ascii="Calibri" w:hAnsi="Calibri" w:cs="Calibri"/>
          <w:sz w:val="22"/>
          <w:szCs w:val="22"/>
        </w:rPr>
        <w:t xml:space="preserve">smlouvy, pokud podstatně nemění podmínky nabídky a pokud ji Kupující neodmítne. </w:t>
      </w:r>
    </w:p>
    <w:p w14:paraId="5029CC03" w14:textId="77777777" w:rsidR="0034465B" w:rsidRPr="008742A9" w:rsidRDefault="0034465B" w:rsidP="008742A9">
      <w:pPr>
        <w:spacing w:before="60"/>
        <w:ind w:left="567"/>
        <w:jc w:val="both"/>
        <w:rPr>
          <w:rFonts w:ascii="Calibri" w:hAnsi="Calibri" w:cs="Calibri"/>
          <w:b/>
          <w:sz w:val="22"/>
          <w:szCs w:val="22"/>
        </w:rPr>
      </w:pPr>
    </w:p>
    <w:p w14:paraId="3A407E63" w14:textId="0DAB048B" w:rsidR="001F2ABD"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74D9F141" w14:textId="77777777" w:rsidR="0034465B" w:rsidRPr="005F5BDB" w:rsidRDefault="0034465B" w:rsidP="009C0DCD">
      <w:pPr>
        <w:spacing w:before="60" w:after="120"/>
        <w:jc w:val="center"/>
        <w:rPr>
          <w:rFonts w:ascii="Calibri" w:hAnsi="Calibri" w:cs="Calibri"/>
          <w:b/>
          <w:sz w:val="22"/>
          <w:szCs w:val="22"/>
        </w:rPr>
      </w:pPr>
    </w:p>
    <w:p w14:paraId="720F1DB8" w14:textId="08832502" w:rsidR="00CB4F99" w:rsidRPr="00F9349C" w:rsidRDefault="00742F88" w:rsidP="00BE1721">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8742A9" w:rsidRPr="008742A9">
        <w:rPr>
          <w:rFonts w:ascii="Calibri" w:hAnsi="Calibri" w:cs="Calibri"/>
          <w:sz w:val="22"/>
          <w:szCs w:val="22"/>
        </w:rPr>
        <w:t>Prodávající se zavazuje dodat Věci Kupujícímu a provést sjednané činnosti v termínu určeném Kupujícím v příslušné Dílčí smlouvě; nebude-li termín plnění sjednán v příslušné Dílčí smlouvě, zavazuje se Prodávající dodat Věci Kupujícímu nejpozději</w:t>
      </w:r>
      <w:r w:rsidR="00C22E50">
        <w:rPr>
          <w:rFonts w:ascii="Calibri" w:hAnsi="Calibri" w:cs="Calibri"/>
          <w:sz w:val="22"/>
          <w:szCs w:val="22"/>
        </w:rPr>
        <w:t xml:space="preserve"> ve lhůtě stanovené v příloze č. 3 této Rámcové smlouvy pro příslušnou Věc.</w:t>
      </w:r>
    </w:p>
    <w:p w14:paraId="67776B02" w14:textId="1705B7D9" w:rsidR="00063BA2" w:rsidRDefault="005E7E98" w:rsidP="007725F3">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A54138">
        <w:rPr>
          <w:rFonts w:ascii="Calibri" w:hAnsi="Calibri" w:cs="Calibri"/>
          <w:sz w:val="22"/>
          <w:szCs w:val="22"/>
        </w:rPr>
        <w:t xml:space="preserve"> </w:t>
      </w:r>
      <w:r w:rsidR="00A54138" w:rsidRPr="00A54138">
        <w:rPr>
          <w:rFonts w:ascii="Calibri" w:hAnsi="Calibri" w:cs="Calibri"/>
          <w:sz w:val="22"/>
          <w:szCs w:val="22"/>
        </w:rPr>
        <w:t xml:space="preserve">(DAP </w:t>
      </w:r>
      <w:proofErr w:type="spellStart"/>
      <w:r w:rsidR="00A54138" w:rsidRPr="00A54138">
        <w:rPr>
          <w:rFonts w:ascii="Calibri" w:hAnsi="Calibri" w:cs="Calibri"/>
          <w:sz w:val="22"/>
          <w:szCs w:val="22"/>
        </w:rPr>
        <w:t>Incoterms</w:t>
      </w:r>
      <w:proofErr w:type="spellEnd"/>
      <w:r w:rsidR="00A54138" w:rsidRPr="00A54138">
        <w:rPr>
          <w:rFonts w:ascii="Calibri" w:hAnsi="Calibri" w:cs="Calibri"/>
          <w:sz w:val="22"/>
          <w:szCs w:val="22"/>
        </w:rPr>
        <w:t xml:space="preserve"> 2020):</w:t>
      </w:r>
    </w:p>
    <w:p w14:paraId="463D0E67" w14:textId="36910176" w:rsidR="00576F9B" w:rsidRPr="00576F9B" w:rsidRDefault="00063BA2" w:rsidP="00576F9B">
      <w:pPr>
        <w:pStyle w:val="Odstavecseseznamem"/>
        <w:numPr>
          <w:ilvl w:val="0"/>
          <w:numId w:val="39"/>
        </w:numPr>
        <w:spacing w:before="60" w:after="120"/>
        <w:jc w:val="both"/>
        <w:rPr>
          <w:rFonts w:ascii="Calibri" w:hAnsi="Calibri" w:cs="Calibri"/>
          <w:b/>
          <w:sz w:val="22"/>
          <w:szCs w:val="22"/>
        </w:rPr>
      </w:pPr>
      <w:r w:rsidRPr="00576F9B">
        <w:rPr>
          <w:rFonts w:ascii="Calibri" w:hAnsi="Calibri" w:cs="Calibri"/>
          <w:sz w:val="22"/>
          <w:szCs w:val="22"/>
        </w:rPr>
        <w:t>DPOV, a.s., PSO Veselí nad Moravou, Kollárova 1684, 698 01 Veselí nad Moravou</w:t>
      </w:r>
      <w:r w:rsidR="00576F9B" w:rsidRPr="00576F9B">
        <w:rPr>
          <w:rFonts w:ascii="Calibri" w:hAnsi="Calibri" w:cs="Calibri"/>
          <w:sz w:val="22"/>
          <w:szCs w:val="22"/>
        </w:rPr>
        <w:t>.</w:t>
      </w:r>
      <w:r w:rsidRPr="00576F9B">
        <w:rPr>
          <w:rFonts w:ascii="Calibri" w:hAnsi="Calibri" w:cs="Calibri"/>
          <w:sz w:val="22"/>
          <w:szCs w:val="22"/>
        </w:rPr>
        <w:t xml:space="preserve"> </w:t>
      </w:r>
      <w:r w:rsidR="005E7E98" w:rsidRPr="00576F9B">
        <w:rPr>
          <w:rFonts w:ascii="Calibri" w:hAnsi="Calibri" w:cs="Calibri"/>
          <w:sz w:val="22"/>
          <w:szCs w:val="22"/>
        </w:rPr>
        <w:t xml:space="preserve"> </w:t>
      </w:r>
    </w:p>
    <w:p w14:paraId="2A4E3D10" w14:textId="61BA618B" w:rsidR="007725F3" w:rsidRPr="00576F9B" w:rsidRDefault="007725F3" w:rsidP="00643764">
      <w:pPr>
        <w:pStyle w:val="Odstavecseseznamem"/>
        <w:numPr>
          <w:ilvl w:val="1"/>
          <w:numId w:val="17"/>
        </w:numPr>
        <w:spacing w:before="60" w:after="120"/>
        <w:ind w:left="567" w:hanging="567"/>
        <w:jc w:val="both"/>
        <w:rPr>
          <w:rFonts w:ascii="Calibri" w:hAnsi="Calibri" w:cs="Calibri"/>
          <w:b/>
          <w:sz w:val="22"/>
          <w:szCs w:val="22"/>
        </w:rPr>
      </w:pPr>
      <w:r w:rsidRPr="00576F9B">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sidRPr="00576F9B">
        <w:rPr>
          <w:rFonts w:ascii="Calibri" w:hAnsi="Calibri" w:cs="Calibri"/>
          <w:sz w:val="22"/>
          <w:szCs w:val="22"/>
        </w:rPr>
        <w:t>Ust</w:t>
      </w:r>
      <w:proofErr w:type="spellEnd"/>
      <w:r w:rsidRPr="00576F9B">
        <w:rPr>
          <w:rFonts w:ascii="Calibri" w:hAnsi="Calibri" w:cs="Calibri"/>
          <w:sz w:val="22"/>
          <w:szCs w:val="22"/>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6FA6C28F" w14:textId="470BD231" w:rsidR="00F611A7" w:rsidRPr="00F237CB" w:rsidRDefault="00204E0E" w:rsidP="00BE1721">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sidRPr="00F237CB">
        <w:rPr>
          <w:rFonts w:ascii="Calibri" w:hAnsi="Calibri" w:cs="Calibri"/>
          <w:sz w:val="22"/>
          <w:szCs w:val="22"/>
        </w:rPr>
        <w:t xml:space="preserve">společnosti České dráhy, a.s. </w:t>
      </w:r>
      <w:r w:rsidR="00C64206" w:rsidRPr="00F237CB">
        <w:rPr>
          <w:rFonts w:ascii="Calibri" w:hAnsi="Calibri" w:cs="Calibri"/>
          <w:sz w:val="22"/>
          <w:szCs w:val="22"/>
        </w:rPr>
        <w:t>ČD</w:t>
      </w:r>
      <w:r w:rsidR="00DB349C" w:rsidRPr="00F237CB">
        <w:rPr>
          <w:rFonts w:ascii="Calibri" w:hAnsi="Calibri" w:cs="Calibri"/>
          <w:sz w:val="22"/>
          <w:szCs w:val="22"/>
        </w:rPr>
        <w:t xml:space="preserve"> </w:t>
      </w:r>
      <w:r w:rsidRPr="00F237CB">
        <w:rPr>
          <w:rFonts w:ascii="Calibri" w:hAnsi="Calibri" w:cs="Calibri"/>
          <w:sz w:val="22"/>
          <w:szCs w:val="22"/>
        </w:rPr>
        <w:t xml:space="preserve">V6/1 </w:t>
      </w:r>
      <w:r w:rsidR="0070237B" w:rsidRPr="00F237CB">
        <w:rPr>
          <w:rFonts w:ascii="Calibri" w:hAnsi="Calibri" w:cs="Calibri"/>
          <w:sz w:val="22"/>
          <w:szCs w:val="22"/>
        </w:rPr>
        <w:t>(dále jen „</w:t>
      </w:r>
      <w:r w:rsidR="0070237B" w:rsidRPr="00F237CB">
        <w:rPr>
          <w:rFonts w:ascii="Calibri" w:hAnsi="Calibri" w:cs="Calibri"/>
          <w:b/>
          <w:bCs/>
          <w:i/>
          <w:iCs/>
          <w:sz w:val="22"/>
          <w:szCs w:val="22"/>
        </w:rPr>
        <w:t xml:space="preserve">Předpis </w:t>
      </w:r>
      <w:r w:rsidR="00C64206" w:rsidRPr="00F237CB">
        <w:rPr>
          <w:rFonts w:ascii="Calibri" w:hAnsi="Calibri" w:cs="Calibri"/>
          <w:b/>
          <w:bCs/>
          <w:i/>
          <w:iCs/>
          <w:sz w:val="22"/>
          <w:szCs w:val="22"/>
        </w:rPr>
        <w:t>ČD</w:t>
      </w:r>
      <w:r w:rsidR="0070237B" w:rsidRPr="00F237CB">
        <w:rPr>
          <w:rFonts w:ascii="Calibri" w:hAnsi="Calibri" w:cs="Calibri"/>
          <w:b/>
          <w:bCs/>
          <w:i/>
          <w:iCs/>
          <w:sz w:val="22"/>
          <w:szCs w:val="22"/>
        </w:rPr>
        <w:t xml:space="preserve"> V6/1</w:t>
      </w:r>
      <w:r w:rsidR="0070237B" w:rsidRPr="00F237CB">
        <w:rPr>
          <w:rFonts w:ascii="Calibri" w:hAnsi="Calibri" w:cs="Calibri"/>
          <w:sz w:val="22"/>
          <w:szCs w:val="22"/>
        </w:rPr>
        <w:t xml:space="preserve">“) </w:t>
      </w:r>
      <w:r w:rsidRPr="00F237CB">
        <w:rPr>
          <w:rFonts w:ascii="Calibri" w:hAnsi="Calibri" w:cs="Calibri"/>
          <w:sz w:val="22"/>
          <w:szCs w:val="22"/>
        </w:rPr>
        <w:t>či dalšími interními předpisy ČD, jsou-li dodávány Věci,</w:t>
      </w:r>
      <w:r w:rsidR="00CC6852" w:rsidRPr="00F237CB">
        <w:rPr>
          <w:rFonts w:ascii="Calibri" w:hAnsi="Calibri" w:cs="Calibri"/>
          <w:sz w:val="22"/>
          <w:szCs w:val="22"/>
        </w:rPr>
        <w:t xml:space="preserve"> k nimž se tyto dokumenty vztahují;</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dokumenty či doklady</w:t>
      </w:r>
      <w:r w:rsidRPr="005F5BDB">
        <w:rPr>
          <w:rFonts w:ascii="Calibri" w:hAnsi="Calibri" w:cs="Calibri"/>
          <w:sz w:val="22"/>
          <w:szCs w:val="22"/>
        </w:rPr>
        <w:t xml:space="preserve">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lastRenderedPageBreak/>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11DB7B7F" w14:textId="7F9229E0" w:rsidR="00AF0F65" w:rsidRDefault="009C0DCD" w:rsidP="009C0DCD">
      <w:pPr>
        <w:spacing w:before="60"/>
        <w:jc w:val="center"/>
        <w:rPr>
          <w:rFonts w:ascii="Calibri" w:hAnsi="Calibri" w:cs="Calibri"/>
          <w:b/>
          <w:sz w:val="22"/>
          <w:szCs w:val="22"/>
        </w:rPr>
      </w:pPr>
      <w:r>
        <w:rPr>
          <w:rFonts w:ascii="Calibri" w:hAnsi="Calibri" w:cs="Calibri"/>
          <w:b/>
          <w:sz w:val="22"/>
          <w:szCs w:val="22"/>
        </w:rPr>
        <w:lastRenderedPageBreak/>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55D6FFC" w14:textId="77777777" w:rsidR="0034465B" w:rsidRPr="005F5BDB" w:rsidRDefault="0034465B" w:rsidP="009C0DCD">
      <w:pPr>
        <w:spacing w:before="60"/>
        <w:jc w:val="center"/>
        <w:rPr>
          <w:rFonts w:ascii="Calibri" w:hAnsi="Calibri" w:cs="Calibri"/>
          <w:b/>
          <w:sz w:val="22"/>
          <w:szCs w:val="22"/>
        </w:rPr>
      </w:pPr>
    </w:p>
    <w:p w14:paraId="78BFBDAC" w14:textId="61580C2C" w:rsidR="00F611A7" w:rsidRPr="00BE1721" w:rsidRDefault="004F51D1" w:rsidP="00BE1721">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BE1721">
        <w:rPr>
          <w:rFonts w:ascii="Calibri" w:hAnsi="Calibri" w:cs="Calibri"/>
          <w:sz w:val="22"/>
          <w:szCs w:val="22"/>
        </w:rPr>
        <w:t> příloze č.</w:t>
      </w:r>
      <w:r w:rsidR="00E16EEA">
        <w:rPr>
          <w:rFonts w:ascii="Calibri" w:hAnsi="Calibri" w:cs="Calibri"/>
          <w:sz w:val="22"/>
          <w:szCs w:val="22"/>
        </w:rPr>
        <w:t xml:space="preserve"> </w:t>
      </w:r>
      <w:r w:rsidR="00A85A14">
        <w:rPr>
          <w:rFonts w:ascii="Calibri" w:hAnsi="Calibri" w:cs="Calibri"/>
          <w:sz w:val="22"/>
          <w:szCs w:val="22"/>
        </w:rPr>
        <w:t>3</w:t>
      </w:r>
      <w:r w:rsidR="00BE1721">
        <w:rPr>
          <w:rFonts w:ascii="Calibri" w:hAnsi="Calibri" w:cs="Calibri"/>
          <w:sz w:val="22"/>
          <w:szCs w:val="22"/>
        </w:rPr>
        <w:t xml:space="preserve"> této Smlouvy</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 xml:space="preserve">“) </w:t>
      </w:r>
      <w:r w:rsidRPr="005F5BDB">
        <w:rPr>
          <w:rFonts w:ascii="Calibri" w:hAnsi="Calibri" w:cs="Calibri"/>
          <w:sz w:val="22"/>
          <w:szCs w:val="22"/>
        </w:rPr>
        <w:t xml:space="preserve">bude vždy </w:t>
      </w:r>
      <w:r w:rsidR="00F237CB">
        <w:rPr>
          <w:rFonts w:ascii="Calibri" w:hAnsi="Calibri" w:cs="Calibri"/>
          <w:sz w:val="22"/>
          <w:szCs w:val="22"/>
        </w:rPr>
        <w:t>uvedena</w:t>
      </w:r>
      <w:r w:rsidRPr="005F5BDB">
        <w:rPr>
          <w:rFonts w:ascii="Calibri" w:hAnsi="Calibri" w:cs="Calibri"/>
          <w:sz w:val="22"/>
          <w:szCs w:val="22"/>
        </w:rPr>
        <w:t xml:space="preserve"> </w:t>
      </w:r>
      <w:r w:rsidR="00A35211" w:rsidRPr="005F5BDB">
        <w:rPr>
          <w:rFonts w:ascii="Calibri" w:hAnsi="Calibri" w:cs="Calibri"/>
          <w:sz w:val="22"/>
          <w:szCs w:val="22"/>
        </w:rPr>
        <w:t>v příslušné Dílčí smlouvě</w:t>
      </w:r>
      <w:r w:rsidR="00BE1721">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1"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2" w:name="_Hlk74225156"/>
      <w:bookmarkEnd w:id="1"/>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A85A14">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2"/>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3"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3"/>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4"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5" w:name="_Hlk72300980"/>
      <w:r w:rsidR="00470B65" w:rsidRPr="00445A8E">
        <w:rPr>
          <w:rFonts w:ascii="Calibri" w:hAnsi="Calibri" w:cs="Calibri"/>
          <w:sz w:val="22"/>
          <w:szCs w:val="22"/>
        </w:rPr>
        <w:t>v souladu se zákonem o DPH</w:t>
      </w:r>
      <w:bookmarkEnd w:id="5"/>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4"/>
      <w:r w:rsidR="00470B65" w:rsidRPr="00445A8E">
        <w:rPr>
          <w:rFonts w:ascii="Calibri" w:hAnsi="Calibri" w:cs="Calibri"/>
          <w:sz w:val="22"/>
          <w:szCs w:val="22"/>
        </w:rPr>
        <w:t xml:space="preserve">, </w:t>
      </w:r>
      <w:bookmarkStart w:id="6"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6"/>
      <w:r w:rsidR="009B6D22" w:rsidRPr="005F5BDB">
        <w:rPr>
          <w:rFonts w:ascii="Calibri" w:hAnsi="Calibri" w:cs="Calibri"/>
          <w:sz w:val="22"/>
          <w:szCs w:val="22"/>
        </w:rPr>
        <w:t xml:space="preserve">. </w:t>
      </w:r>
      <w:bookmarkStart w:id="7"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8" w:name="_Hlk72308247"/>
      <w:bookmarkEnd w:id="7"/>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9"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9"/>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10" w:name="_Hlk72308796"/>
      <w:bookmarkEnd w:id="8"/>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w:t>
      </w:r>
      <w:r w:rsidR="002217E6" w:rsidRPr="005F5BDB">
        <w:rPr>
          <w:rFonts w:ascii="Calibri" w:hAnsi="Calibri" w:cs="Calibri"/>
          <w:sz w:val="22"/>
          <w:szCs w:val="22"/>
        </w:rPr>
        <w:lastRenderedPageBreak/>
        <w:t>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1"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1"/>
    </w:p>
    <w:p w14:paraId="51061131" w14:textId="0518E4B3" w:rsidR="00BA2847" w:rsidRPr="00D85B4E" w:rsidRDefault="00F7675C" w:rsidP="007D5BD7">
      <w:pPr>
        <w:spacing w:line="244" w:lineRule="auto"/>
        <w:ind w:left="567" w:hanging="567"/>
        <w:jc w:val="both"/>
        <w:rPr>
          <w:rFonts w:ascii="Calibri" w:hAnsi="Calibri" w:cs="Calibri"/>
          <w:sz w:val="22"/>
          <w:szCs w:val="22"/>
        </w:rPr>
      </w:pPr>
      <w:bookmarkStart w:id="12" w:name="_Hlk74053894"/>
      <w:bookmarkEnd w:id="10"/>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3"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w:t>
      </w:r>
      <w:proofErr w:type="gramStart"/>
      <w:r w:rsidR="00BA2847" w:rsidRPr="007D5BD7">
        <w:rPr>
          <w:rFonts w:ascii="Calibri" w:hAnsi="Calibri" w:cs="Calibri"/>
          <w:sz w:val="22"/>
          <w:szCs w:val="22"/>
          <w:shd w:val="clear" w:color="auto" w:fill="FFFFFF"/>
        </w:rPr>
        <w:t>1b</w:t>
      </w:r>
      <w:proofErr w:type="gramEnd"/>
      <w:r w:rsidR="00BA2847" w:rsidRPr="007D5BD7">
        <w:rPr>
          <w:rFonts w:ascii="Calibri" w:hAnsi="Calibri" w:cs="Calibri"/>
          <w:sz w:val="22"/>
          <w:szCs w:val="22"/>
          <w:shd w:val="clear" w:color="auto" w:fill="FFFFFF"/>
        </w:rPr>
        <w:t>,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proofErr w:type="spellStart"/>
      <w:r w:rsidR="00BA2847" w:rsidRPr="007D5BD7">
        <w:rPr>
          <w:rFonts w:ascii="Calibri" w:hAnsi="Calibri" w:cs="Calibri"/>
          <w:sz w:val="22"/>
          <w:szCs w:val="22"/>
        </w:rPr>
        <w:t>ust</w:t>
      </w:r>
      <w:proofErr w:type="spellEnd"/>
      <w:r w:rsidR="00BA2847" w:rsidRPr="007D5BD7">
        <w:rPr>
          <w:rFonts w:ascii="Calibri" w:hAnsi="Calibri" w:cs="Calibri"/>
          <w:sz w:val="22"/>
          <w:szCs w:val="22"/>
        </w:rPr>
        <w:t xml:space="preserve">.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w:t>
      </w:r>
      <w:proofErr w:type="spellStart"/>
      <w:r w:rsidR="00BA2847" w:rsidRPr="00D85B4E">
        <w:rPr>
          <w:rFonts w:ascii="Calibri" w:hAnsi="Calibri" w:cs="Calibri"/>
          <w:sz w:val="22"/>
          <w:szCs w:val="22"/>
        </w:rPr>
        <w:t>pdf</w:t>
      </w:r>
      <w:proofErr w:type="spellEnd"/>
      <w:r w:rsidR="00BA2847" w:rsidRPr="00D85B4E">
        <w:rPr>
          <w:rFonts w:ascii="Calibri" w:hAnsi="Calibri" w:cs="Calibri"/>
          <w:sz w:val="22"/>
          <w:szCs w:val="22"/>
        </w:rPr>
        <w:t xml:space="preserve">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w:t>
      </w:r>
      <w:proofErr w:type="spellStart"/>
      <w:r w:rsidR="00BA2847" w:rsidRPr="006D50E5">
        <w:rPr>
          <w:rFonts w:ascii="Calibri" w:hAnsi="Calibri" w:cs="Calibri"/>
          <w:sz w:val="22"/>
          <w:szCs w:val="22"/>
        </w:rPr>
        <w:t>DOCx</w:t>
      </w:r>
      <w:proofErr w:type="spellEnd"/>
      <w:r w:rsidR="00BA2847" w:rsidRPr="006D50E5">
        <w:rPr>
          <w:rFonts w:ascii="Calibri" w:hAnsi="Calibri" w:cs="Calibri"/>
          <w:sz w:val="22"/>
          <w:szCs w:val="22"/>
        </w:rPr>
        <w:t xml:space="preserve">, XLS, </w:t>
      </w:r>
      <w:proofErr w:type="spellStart"/>
      <w:r w:rsidR="00BA2847" w:rsidRPr="006D50E5">
        <w:rPr>
          <w:rFonts w:ascii="Calibri" w:hAnsi="Calibri" w:cs="Calibri"/>
          <w:sz w:val="22"/>
          <w:szCs w:val="22"/>
        </w:rPr>
        <w:t>XLSx</w:t>
      </w:r>
      <w:proofErr w:type="spellEnd"/>
      <w:r w:rsidR="00BA2847" w:rsidRPr="006D50E5">
        <w:rPr>
          <w:rFonts w:ascii="Calibri" w:hAnsi="Calibri" w:cs="Calibri"/>
          <w:sz w:val="22"/>
          <w:szCs w:val="22"/>
        </w:rPr>
        <w:t xml:space="preserve">.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3"/>
    </w:p>
    <w:bookmarkEnd w:id="12"/>
    <w:p w14:paraId="3ABDC4EC" w14:textId="77777777" w:rsidR="0034465B" w:rsidRPr="009C0DCD" w:rsidRDefault="0034465B" w:rsidP="00E61B56">
      <w:pPr>
        <w:spacing w:before="60"/>
        <w:jc w:val="both"/>
        <w:rPr>
          <w:rFonts w:ascii="Calibri" w:hAnsi="Calibri" w:cs="Calibri"/>
          <w:sz w:val="22"/>
          <w:szCs w:val="22"/>
        </w:rPr>
      </w:pPr>
    </w:p>
    <w:p w14:paraId="323B6799" w14:textId="296BA2B0" w:rsidR="00FF4749" w:rsidRDefault="009C0DCD" w:rsidP="00E61B56">
      <w:pPr>
        <w:spacing w:before="60"/>
        <w:jc w:val="center"/>
        <w:rPr>
          <w:rFonts w:ascii="Calibri" w:hAnsi="Calibri" w:cs="Calibri"/>
          <w:b/>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214D034B" w14:textId="77777777" w:rsidR="0034465B" w:rsidRPr="009C0DCD" w:rsidRDefault="0034465B" w:rsidP="00E61B56">
      <w:pPr>
        <w:spacing w:before="60"/>
        <w:jc w:val="center"/>
        <w:rPr>
          <w:rFonts w:ascii="Calibri" w:hAnsi="Calibri" w:cs="Calibri"/>
          <w:sz w:val="22"/>
          <w:szCs w:val="22"/>
        </w:rPr>
      </w:pP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4"/>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5"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w:t>
      </w:r>
      <w:r w:rsidRPr="005F5BDB">
        <w:rPr>
          <w:rFonts w:ascii="Calibri" w:hAnsi="Calibri" w:cs="Calibri"/>
          <w:sz w:val="22"/>
          <w:szCs w:val="22"/>
        </w:rPr>
        <w:lastRenderedPageBreak/>
        <w:t xml:space="preserve">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6" w:name="_Hlk72311919"/>
      <w:bookmarkEnd w:id="15"/>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7"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8" w:name="_Hlk72312417"/>
      <w:bookmarkEnd w:id="16"/>
      <w:bookmarkEnd w:id="17"/>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8"/>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9" w:name="_Hlk72312518"/>
      <w:bookmarkStart w:id="20"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1" w:name="_Hlk72312591"/>
      <w:bookmarkEnd w:id="19"/>
      <w:bookmarkEnd w:id="20"/>
      <w:r w:rsidR="0095743A" w:rsidRPr="009C0DCD">
        <w:rPr>
          <w:rFonts w:ascii="Calibri" w:hAnsi="Calibri" w:cs="Calibri"/>
          <w:sz w:val="22"/>
          <w:szCs w:val="22"/>
        </w:rPr>
        <w:t>Záruční doba neběží po dobu, po kterou Kupující nemůže užívat plnění pro jeho vady, za které odpovídá Prodávající.</w:t>
      </w:r>
      <w:bookmarkEnd w:id="21"/>
    </w:p>
    <w:p w14:paraId="05879405" w14:textId="6BBC9FB1"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ED6640">
        <w:rPr>
          <w:rFonts w:ascii="Calibri" w:hAnsi="Calibri" w:cs="Calibri"/>
          <w:sz w:val="22"/>
          <w:szCs w:val="22"/>
          <w:highlight w:val="yellow"/>
        </w:rPr>
        <w:t xml:space="preserve">doplní </w:t>
      </w:r>
      <w:r w:rsidR="00245787" w:rsidRPr="00ED6640">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CB467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3" w:name="_Hlk72312758"/>
      <w:bookmarkEnd w:id="22"/>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4" w:name="p2106-1-b"/>
      <w:bookmarkEnd w:id="24"/>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5" w:name="p2106-1-d"/>
      <w:bookmarkEnd w:id="25"/>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6" w:name="_Hlk72313074"/>
      <w:bookmarkEnd w:id="23"/>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7"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7"/>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8" w:name="_Hlk72313270"/>
      <w:bookmarkEnd w:id="26"/>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9" w:name="_Hlk72313530"/>
      <w:bookmarkEnd w:id="28"/>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lastRenderedPageBreak/>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9"/>
    <w:p w14:paraId="589EBE59" w14:textId="77777777" w:rsidR="0034465B" w:rsidRDefault="0034465B" w:rsidP="00E61B56">
      <w:pPr>
        <w:spacing w:before="60"/>
        <w:jc w:val="center"/>
        <w:rPr>
          <w:rFonts w:ascii="Calibri" w:hAnsi="Calibri" w:cs="Calibri"/>
          <w:b/>
          <w:sz w:val="22"/>
          <w:szCs w:val="22"/>
        </w:rPr>
      </w:pPr>
    </w:p>
    <w:p w14:paraId="44E935F5" w14:textId="736AF60E" w:rsidR="00ED0535" w:rsidRDefault="009C0DCD" w:rsidP="00445A8E">
      <w:pPr>
        <w:spacing w:after="120"/>
        <w:jc w:val="center"/>
        <w:rPr>
          <w:rFonts w:ascii="Calibri" w:hAnsi="Calibri" w:cs="Calibri"/>
          <w:b/>
          <w:sz w:val="22"/>
          <w:szCs w:val="22"/>
        </w:rPr>
      </w:pPr>
      <w:bookmarkStart w:id="30"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696E630E" w14:textId="77777777" w:rsidR="0034465B" w:rsidRPr="005F5BDB" w:rsidRDefault="0034465B" w:rsidP="00445A8E">
      <w:pPr>
        <w:spacing w:after="120"/>
        <w:jc w:val="center"/>
        <w:rPr>
          <w:rFonts w:ascii="Calibri" w:hAnsi="Calibri" w:cs="Calibri"/>
          <w:b/>
          <w:sz w:val="22"/>
          <w:szCs w:val="22"/>
        </w:rPr>
      </w:pP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1"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2"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2"/>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3"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nedostatek </w:t>
      </w:r>
      <w:r w:rsidRPr="005F5BDB">
        <w:rPr>
          <w:rFonts w:ascii="Calibri" w:hAnsi="Calibri" w:cs="Calibri"/>
          <w:color w:val="000000"/>
          <w:sz w:val="22"/>
          <w:szCs w:val="22"/>
        </w:rPr>
        <w:lastRenderedPageBreak/>
        <w:t>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3"/>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529881D8" w:rsidR="00603516" w:rsidRDefault="00603516" w:rsidP="00445A8E">
      <w:pPr>
        <w:pStyle w:val="Odstavecseseznamem"/>
        <w:spacing w:after="120"/>
        <w:ind w:left="567"/>
        <w:contextualSpacing w:val="0"/>
        <w:jc w:val="both"/>
        <w:rPr>
          <w:rFonts w:ascii="Calibri" w:hAnsi="Calibri" w:cs="Calibri"/>
          <w:sz w:val="22"/>
          <w:szCs w:val="22"/>
        </w:rPr>
      </w:pPr>
      <w:bookmarkStart w:id="34"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5"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5"/>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CA19C3">
        <w:rPr>
          <w:rFonts w:ascii="Calibri" w:hAnsi="Calibri" w:cs="Calibri"/>
          <w:sz w:val="22"/>
          <w:szCs w:val="22"/>
        </w:rPr>
        <w:t>1</w:t>
      </w:r>
      <w:r w:rsidR="00C22E50">
        <w:rPr>
          <w:rFonts w:ascii="Calibri" w:hAnsi="Calibri" w:cs="Calibri"/>
          <w:sz w:val="22"/>
          <w:szCs w:val="22"/>
        </w:rPr>
        <w:t>0</w:t>
      </w:r>
      <w:r w:rsidR="003A49FC" w:rsidRPr="00CA19C3">
        <w:rPr>
          <w:rFonts w:ascii="Calibri" w:hAnsi="Calibri" w:cs="Calibri"/>
          <w:sz w:val="22"/>
          <w:szCs w:val="22"/>
        </w:rPr>
        <w:t>.0</w:t>
      </w:r>
      <w:r w:rsidR="0060403C" w:rsidRPr="00CA19C3">
        <w:rPr>
          <w:rFonts w:ascii="Calibri" w:hAnsi="Calibri" w:cs="Calibri"/>
          <w:sz w:val="22"/>
          <w:szCs w:val="22"/>
        </w:rPr>
        <w:t>00.000,-</w:t>
      </w:r>
      <w:proofErr w:type="gramEnd"/>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C22E50">
        <w:rPr>
          <w:rFonts w:ascii="Calibri" w:hAnsi="Calibri" w:cs="Calibri"/>
          <w:sz w:val="22"/>
          <w:szCs w:val="22"/>
        </w:rPr>
        <w:t>deset</w:t>
      </w:r>
      <w:r w:rsidR="003A49FC" w:rsidRPr="00CA19C3">
        <w:rPr>
          <w:rFonts w:ascii="Calibri" w:hAnsi="Calibri" w:cs="Calibri"/>
          <w:sz w:val="22"/>
          <w:szCs w:val="22"/>
        </w:rPr>
        <w:t xml:space="preserve"> milion</w:t>
      </w:r>
      <w:r w:rsidR="00C22E50">
        <w:rPr>
          <w:rFonts w:ascii="Calibri" w:hAnsi="Calibri" w:cs="Calibri"/>
          <w:sz w:val="22"/>
          <w:szCs w:val="22"/>
        </w:rPr>
        <w:t>ů</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6"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6"/>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7"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8" w:name="_Hlk31698830"/>
      <w:bookmarkEnd w:id="34"/>
      <w:bookmarkEnd w:id="37"/>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8"/>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9"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9"/>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40"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40"/>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1"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1"/>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w:t>
      </w:r>
      <w:r w:rsidRPr="00FC6028">
        <w:rPr>
          <w:rFonts w:ascii="Calibri" w:hAnsi="Calibri" w:cs="Calibri"/>
          <w:sz w:val="22"/>
          <w:szCs w:val="22"/>
        </w:rPr>
        <w:lastRenderedPageBreak/>
        <w:t xml:space="preserve">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2"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2"/>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3"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3"/>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6755901B" w14:textId="77777777" w:rsidR="0034465B" w:rsidRPr="003138EB" w:rsidRDefault="0034465B" w:rsidP="005A2176">
      <w:pPr>
        <w:pStyle w:val="Odstavecseseznamem"/>
        <w:tabs>
          <w:tab w:val="left" w:pos="851"/>
        </w:tabs>
        <w:ind w:left="567" w:hanging="567"/>
        <w:contextualSpacing w:val="0"/>
        <w:jc w:val="both"/>
        <w:rPr>
          <w:rFonts w:asciiTheme="minorHAnsi" w:hAnsiTheme="minorHAnsi"/>
          <w:iCs/>
          <w:sz w:val="22"/>
          <w:szCs w:val="22"/>
        </w:rPr>
      </w:pPr>
    </w:p>
    <w:p w14:paraId="65224365" w14:textId="4CC1411E" w:rsidR="00EF5130" w:rsidRDefault="009C0DCD" w:rsidP="003F11FC">
      <w:pPr>
        <w:jc w:val="center"/>
        <w:rPr>
          <w:rFonts w:ascii="Calibri" w:hAnsi="Calibri" w:cs="Calibri"/>
          <w:b/>
          <w:sz w:val="22"/>
          <w:szCs w:val="22"/>
        </w:rPr>
      </w:pPr>
      <w:bookmarkStart w:id="44" w:name="_Hlk74057356"/>
      <w:bookmarkEnd w:id="30"/>
      <w:bookmarkEnd w:id="31"/>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p w14:paraId="2CEBFCB5" w14:textId="77777777" w:rsidR="0034465B" w:rsidRPr="009C0DCD" w:rsidRDefault="0034465B" w:rsidP="003F11FC">
      <w:pPr>
        <w:jc w:val="center"/>
        <w:rPr>
          <w:rFonts w:ascii="Calibri" w:hAnsi="Calibri" w:cs="Calibri"/>
          <w:b/>
          <w:sz w:val="22"/>
          <w:szCs w:val="22"/>
        </w:rPr>
      </w:pPr>
    </w:p>
    <w:bookmarkEnd w:id="44"/>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5"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5"/>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6"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6"/>
      <w:r w:rsidR="00A41728" w:rsidRPr="005F5BDB">
        <w:rPr>
          <w:rFonts w:ascii="Calibri" w:hAnsi="Calibri" w:cs="Calibri"/>
          <w:sz w:val="22"/>
          <w:szCs w:val="22"/>
        </w:rPr>
        <w:t xml:space="preserve">dodáním Věcí </w:t>
      </w:r>
      <w:bookmarkStart w:id="47"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7"/>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8"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8"/>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9" w:name="_Hlk74057561"/>
      <w:r w:rsidR="000B715E">
        <w:rPr>
          <w:rFonts w:ascii="Calibri" w:hAnsi="Calibri" w:cs="Calibri"/>
          <w:iCs/>
          <w:kern w:val="1"/>
          <w:sz w:val="22"/>
          <w:szCs w:val="22"/>
        </w:rPr>
        <w:t>oznámit svůj úpadek či hrozící úpadek</w:t>
      </w:r>
      <w:bookmarkEnd w:id="49"/>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50" w:name="_Hlk74057710"/>
      <w:r>
        <w:rPr>
          <w:rFonts w:ascii="Calibri" w:hAnsi="Calibri" w:cs="Calibri"/>
          <w:sz w:val="22"/>
          <w:szCs w:val="22"/>
        </w:rPr>
        <w:t>Smluvní pokuty lze uložit vedle sebe a lze je uložit i opakovaně.</w:t>
      </w:r>
    </w:p>
    <w:bookmarkEnd w:id="50"/>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lastRenderedPageBreak/>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Pr>
          <w:rFonts w:ascii="Calibri" w:hAnsi="Calibri" w:cs="Calibri"/>
          <w:iCs/>
          <w:kern w:val="2"/>
          <w:sz w:val="22"/>
          <w:szCs w:val="22"/>
        </w:rPr>
        <w:t>1.000.000,-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Pr>
          <w:rFonts w:ascii="Calibri" w:hAnsi="Calibri" w:cs="Calibri"/>
          <w:iCs/>
          <w:kern w:val="2"/>
          <w:sz w:val="22"/>
          <w:szCs w:val="22"/>
        </w:rPr>
        <w:t>5.000,-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1DBD57D9" w14:textId="77777777" w:rsidR="0034465B" w:rsidRPr="005F5BDB" w:rsidRDefault="0034465B" w:rsidP="00E61B56">
      <w:pPr>
        <w:spacing w:before="60"/>
        <w:jc w:val="both"/>
        <w:rPr>
          <w:rFonts w:ascii="Calibri" w:hAnsi="Calibri" w:cs="Calibri"/>
          <w:sz w:val="22"/>
          <w:szCs w:val="22"/>
        </w:rPr>
      </w:pPr>
    </w:p>
    <w:p w14:paraId="7F0A5294" w14:textId="7E505DF9" w:rsidR="00EF488E" w:rsidRDefault="009C0DCD" w:rsidP="009C0DCD">
      <w:pPr>
        <w:pStyle w:val="Zkladntext"/>
        <w:spacing w:before="60"/>
        <w:jc w:val="center"/>
        <w:rPr>
          <w:rFonts w:ascii="Calibri" w:hAnsi="Calibri" w:cs="Calibri"/>
          <w:b/>
          <w:sz w:val="22"/>
          <w:szCs w:val="22"/>
        </w:rPr>
      </w:pPr>
      <w:bookmarkStart w:id="51"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6C321DA1" w14:textId="77777777" w:rsidR="0034465B" w:rsidRPr="009C0DCD" w:rsidRDefault="0034465B" w:rsidP="009C0DCD">
      <w:pPr>
        <w:pStyle w:val="Zkladntext"/>
        <w:spacing w:before="60"/>
        <w:jc w:val="center"/>
        <w:rPr>
          <w:rFonts w:ascii="Calibri" w:hAnsi="Calibri" w:cs="Calibri"/>
          <w:b/>
          <w:sz w:val="22"/>
          <w:szCs w:val="22"/>
        </w:rPr>
      </w:pP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2" w:name="_Hlk74057842"/>
      <w:bookmarkEnd w:id="51"/>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2"/>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01ACAE1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3"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6B103F">
        <w:rPr>
          <w:rFonts w:ascii="Calibri" w:hAnsi="Calibri" w:cs="Calibri"/>
          <w:kern w:val="1"/>
          <w:sz w:val="22"/>
          <w:szCs w:val="22"/>
        </w:rPr>
        <w:t>6</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6B103F">
        <w:rPr>
          <w:rFonts w:ascii="Calibri" w:hAnsi="Calibri" w:cs="Calibri"/>
          <w:kern w:val="1"/>
          <w:sz w:val="22"/>
          <w:szCs w:val="22"/>
        </w:rPr>
        <w:t>7</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3"/>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4"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5"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5"/>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4"/>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w:t>
      </w:r>
      <w:r w:rsidRPr="00445A8E">
        <w:rPr>
          <w:rFonts w:ascii="Calibri" w:hAnsi="Calibri" w:cs="Calibri"/>
          <w:iCs/>
          <w:kern w:val="1"/>
          <w:sz w:val="22"/>
          <w:szCs w:val="22"/>
        </w:rPr>
        <w:lastRenderedPageBreak/>
        <w:t xml:space="preserve">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0219BA50" w:rsidR="005A3FD4" w:rsidRPr="00445A8E"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67EA09C6" w14:textId="77777777" w:rsidR="0034465B" w:rsidRPr="009C0DCD" w:rsidRDefault="0034465B" w:rsidP="00E61B56">
      <w:pPr>
        <w:spacing w:before="60"/>
        <w:jc w:val="both"/>
        <w:rPr>
          <w:rFonts w:ascii="Calibri" w:hAnsi="Calibri" w:cs="Calibri"/>
          <w:sz w:val="22"/>
          <w:szCs w:val="22"/>
        </w:rPr>
      </w:pPr>
    </w:p>
    <w:p w14:paraId="73B7AAC8" w14:textId="6F37FD65" w:rsidR="00457357" w:rsidRDefault="009C0DCD" w:rsidP="00445A8E">
      <w:pPr>
        <w:pStyle w:val="Zkladntext"/>
        <w:spacing w:before="60" w:after="120"/>
        <w:jc w:val="center"/>
        <w:rPr>
          <w:rFonts w:ascii="Calibri" w:hAnsi="Calibri" w:cs="Calibri"/>
          <w:b/>
          <w:sz w:val="22"/>
          <w:szCs w:val="22"/>
        </w:rPr>
      </w:pPr>
      <w:bookmarkStart w:id="56" w:name="_Hlk74058590"/>
      <w:r>
        <w:rPr>
          <w:rFonts w:ascii="Calibri" w:hAnsi="Calibri" w:cs="Calibri"/>
          <w:b/>
          <w:sz w:val="22"/>
          <w:szCs w:val="22"/>
        </w:rPr>
        <w:t>9.</w:t>
      </w:r>
      <w:r w:rsidR="00457357">
        <w:rPr>
          <w:rFonts w:ascii="Calibri" w:hAnsi="Calibri" w:cs="Calibri"/>
          <w:b/>
          <w:sz w:val="22"/>
          <w:szCs w:val="22"/>
        </w:rPr>
        <w:t xml:space="preserve"> Čestné prohlášení</w:t>
      </w:r>
    </w:p>
    <w:p w14:paraId="5200FC02" w14:textId="77777777" w:rsidR="0034465B" w:rsidRDefault="0034465B" w:rsidP="00445A8E">
      <w:pPr>
        <w:pStyle w:val="Zkladntext"/>
        <w:spacing w:before="60" w:after="120"/>
        <w:jc w:val="center"/>
        <w:rPr>
          <w:rFonts w:ascii="Calibri" w:hAnsi="Calibri" w:cs="Calibri"/>
          <w:b/>
          <w:sz w:val="22"/>
          <w:szCs w:val="22"/>
        </w:rPr>
      </w:pPr>
    </w:p>
    <w:p w14:paraId="473BD3AB" w14:textId="19B231D7"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 xml:space="preserve">Prodávající prohlašuje, že: </w:t>
      </w:r>
    </w:p>
    <w:p w14:paraId="777B5C4B"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37F75BBD"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1651578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3111B7B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17735F86" w14:textId="28826EE1"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V případě, že kdykoli v budoucnu dojde k porušení některého ze shora uvedených prohlášení, je Prodávající povinen oznámit tuto skutečnost bez zbytečného odkladu DPOV, a.s.</w:t>
      </w:r>
    </w:p>
    <w:p w14:paraId="19469573" w14:textId="08397BA4"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Pro případ, že Prodávající ve vztahu k výše uvedenému prohlášení uvede vůči DPOV, a.s. nepravdivé, nesprávné nebo neúplné informace, nebo tyto informace jiným způsobem zatají či zamlčí, ač si jich mohl a měl být vědom, je povinen nahradit DPOV, a.s. tím vzniklou škodu. Prodávající je povinen k náhradě škody také tehdy, nesplní-li povinnosti stanovené tímto prohlášením.</w:t>
      </w:r>
    </w:p>
    <w:p w14:paraId="0321D7B8" w14:textId="4F4EB36F" w:rsidR="00457357" w:rsidRP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Porušení shora uvedených prohlášení se považuje za porušení smlouvy podstatným způsobem a opravňuje druhou smluvní stranu od smlouvy odstoupit.</w:t>
      </w:r>
    </w:p>
    <w:p w14:paraId="01D50F52" w14:textId="1885D017" w:rsidR="00457357" w:rsidRDefault="009C0DCD" w:rsidP="00445A8E">
      <w:pPr>
        <w:pStyle w:val="Zkladntext"/>
        <w:spacing w:before="60" w:after="120"/>
        <w:jc w:val="center"/>
        <w:rPr>
          <w:rFonts w:ascii="Calibri" w:hAnsi="Calibri" w:cs="Calibri"/>
          <w:b/>
          <w:sz w:val="22"/>
          <w:szCs w:val="22"/>
        </w:rPr>
      </w:pPr>
      <w:r>
        <w:rPr>
          <w:rFonts w:ascii="Calibri" w:hAnsi="Calibri" w:cs="Calibri"/>
          <w:b/>
          <w:sz w:val="22"/>
          <w:szCs w:val="22"/>
        </w:rPr>
        <w:tab/>
      </w:r>
    </w:p>
    <w:p w14:paraId="2FC68212" w14:textId="21215FD0" w:rsidR="0093542D" w:rsidRDefault="00457357" w:rsidP="00445A8E">
      <w:pPr>
        <w:pStyle w:val="Zkladntext"/>
        <w:spacing w:before="60" w:after="120"/>
        <w:jc w:val="center"/>
        <w:rPr>
          <w:rFonts w:ascii="Calibri" w:hAnsi="Calibri" w:cs="Calibri"/>
          <w:b/>
          <w:sz w:val="22"/>
          <w:szCs w:val="22"/>
        </w:rPr>
      </w:pPr>
      <w:r>
        <w:rPr>
          <w:rFonts w:ascii="Calibri" w:hAnsi="Calibri" w:cs="Calibri"/>
          <w:b/>
          <w:sz w:val="22"/>
          <w:szCs w:val="22"/>
        </w:rPr>
        <w:t xml:space="preserve">10. </w:t>
      </w:r>
      <w:r w:rsidR="0093542D" w:rsidRPr="005F5BDB">
        <w:rPr>
          <w:rFonts w:ascii="Calibri" w:hAnsi="Calibri" w:cs="Calibri"/>
          <w:b/>
          <w:sz w:val="22"/>
          <w:szCs w:val="22"/>
        </w:rPr>
        <w:t xml:space="preserve">Závěrečná </w:t>
      </w:r>
      <w:r w:rsidR="001C135E" w:rsidRPr="005F5BDB">
        <w:rPr>
          <w:rFonts w:ascii="Calibri" w:hAnsi="Calibri" w:cs="Calibri"/>
          <w:b/>
          <w:sz w:val="22"/>
          <w:szCs w:val="22"/>
        </w:rPr>
        <w:t>ujednání</w:t>
      </w:r>
    </w:p>
    <w:p w14:paraId="1865632A" w14:textId="77777777" w:rsidR="0034465B" w:rsidRPr="005F5BDB" w:rsidRDefault="0034465B" w:rsidP="00445A8E">
      <w:pPr>
        <w:pStyle w:val="Zkladntext"/>
        <w:spacing w:before="60" w:after="120"/>
        <w:jc w:val="center"/>
        <w:rPr>
          <w:rFonts w:ascii="Calibri" w:hAnsi="Calibri" w:cs="Calibri"/>
          <w:b/>
          <w:sz w:val="22"/>
          <w:szCs w:val="22"/>
        </w:rPr>
      </w:pPr>
    </w:p>
    <w:p w14:paraId="7FD8E19E" w14:textId="68301185" w:rsidR="00FA33CE" w:rsidRPr="00FA33CE" w:rsidRDefault="00323502" w:rsidP="00B37712">
      <w:pPr>
        <w:pStyle w:val="Zkladntext"/>
        <w:numPr>
          <w:ilvl w:val="1"/>
          <w:numId w:val="16"/>
        </w:numPr>
        <w:spacing w:after="120"/>
        <w:ind w:left="567" w:hanging="567"/>
        <w:rPr>
          <w:rFonts w:ascii="Calibri" w:hAnsi="Calibri" w:cs="Calibri"/>
          <w:sz w:val="22"/>
          <w:szCs w:val="22"/>
        </w:rPr>
      </w:pPr>
      <w:bookmarkStart w:id="57" w:name="_Hlk73957071"/>
      <w:r w:rsidRPr="00FA33CE">
        <w:rPr>
          <w:rFonts w:ascii="Calibri" w:hAnsi="Calibri" w:cs="Calibri"/>
          <w:sz w:val="22"/>
          <w:szCs w:val="22"/>
        </w:rPr>
        <w:t xml:space="preserve">Prodávající prohlašuje, že při jednání o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mu byly sděleny všechny pro něj relevantní skutkové a právní okolnosti k posouzení možnosti uzavřít tuto </w:t>
      </w:r>
      <w:r w:rsidR="0060403C" w:rsidRPr="00FA33CE">
        <w:rPr>
          <w:rFonts w:ascii="Calibri" w:hAnsi="Calibri" w:cs="Calibri"/>
          <w:sz w:val="22"/>
          <w:szCs w:val="22"/>
        </w:rPr>
        <w:t xml:space="preserve">Rámcovou </w:t>
      </w:r>
      <w:r w:rsidRPr="00FA33CE">
        <w:rPr>
          <w:rFonts w:ascii="Calibri" w:hAnsi="Calibri" w:cs="Calibri"/>
          <w:sz w:val="22"/>
          <w:szCs w:val="22"/>
        </w:rPr>
        <w:t>smlouvu, a že neočekává a ani nepožaduje o</w:t>
      </w:r>
      <w:r w:rsidR="00623136">
        <w:rPr>
          <w:rFonts w:ascii="Calibri" w:hAnsi="Calibri" w:cs="Calibri"/>
          <w:sz w:val="22"/>
          <w:szCs w:val="22"/>
        </w:rPr>
        <w:t>d</w:t>
      </w:r>
      <w:r w:rsidRPr="00FA33CE">
        <w:rPr>
          <w:rFonts w:ascii="Calibri" w:hAnsi="Calibri" w:cs="Calibri"/>
          <w:sz w:val="22"/>
          <w:szCs w:val="22"/>
        </w:rPr>
        <w:t xml:space="preserve"> Kupujícího žádné další informace v této věci.</w:t>
      </w:r>
    </w:p>
    <w:p w14:paraId="49544E1D" w14:textId="06274E51"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Tato </w:t>
      </w:r>
      <w:r w:rsidR="008170F4" w:rsidRPr="009C0DCD">
        <w:rPr>
          <w:rFonts w:ascii="Calibri" w:hAnsi="Calibri" w:cs="Calibri"/>
          <w:sz w:val="22"/>
          <w:szCs w:val="22"/>
        </w:rPr>
        <w:t>Rámcová</w:t>
      </w:r>
      <w:r w:rsidRPr="009C0DCD">
        <w:rPr>
          <w:rFonts w:ascii="Calibri" w:hAnsi="Calibri" w:cs="Calibri"/>
          <w:sz w:val="22"/>
          <w:szCs w:val="22"/>
        </w:rPr>
        <w:t xml:space="preserve"> smlouva nabývá platnosti a účinnosti dnem jejího uzavření.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je den označený datem u podpisů Smluvních stran. Je-li takto označeno více dní, je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den z označených dnů nejpozdější.</w:t>
      </w:r>
    </w:p>
    <w:p w14:paraId="0667F415" w14:textId="11E7258D" w:rsidR="00FA33CE" w:rsidRPr="00FA33CE" w:rsidRDefault="0093542D"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 xml:space="preserve">Tato </w:t>
      </w:r>
      <w:r w:rsidR="00204B20">
        <w:rPr>
          <w:rFonts w:ascii="Calibri" w:hAnsi="Calibri" w:cs="Calibri"/>
          <w:sz w:val="22"/>
          <w:szCs w:val="22"/>
        </w:rPr>
        <w:t xml:space="preserve">Rámcová </w:t>
      </w:r>
      <w:r w:rsidR="007B6283">
        <w:rPr>
          <w:rFonts w:ascii="Calibri" w:hAnsi="Calibri" w:cs="Calibri"/>
          <w:sz w:val="22"/>
          <w:szCs w:val="22"/>
        </w:rPr>
        <w:t xml:space="preserve">smlouva </w:t>
      </w:r>
      <w:r w:rsidRPr="009C0DCD">
        <w:rPr>
          <w:rFonts w:ascii="Calibri" w:hAnsi="Calibri" w:cs="Calibri"/>
          <w:sz w:val="22"/>
          <w:szCs w:val="22"/>
        </w:rPr>
        <w:t xml:space="preserve">se řídí právním řádem České republiky a uzavírá se ve smyslu ustanovení § </w:t>
      </w:r>
      <w:r w:rsidR="00DC4D9C" w:rsidRPr="009C0DCD">
        <w:rPr>
          <w:rFonts w:ascii="Calibri" w:hAnsi="Calibri" w:cs="Calibri"/>
          <w:sz w:val="22"/>
          <w:szCs w:val="22"/>
        </w:rPr>
        <w:t>2079</w:t>
      </w:r>
      <w:r w:rsidR="00A14D2C" w:rsidRPr="00FA33CE">
        <w:rPr>
          <w:rFonts w:ascii="Calibri" w:hAnsi="Calibri" w:cs="Calibri"/>
          <w:sz w:val="22"/>
          <w:szCs w:val="22"/>
        </w:rPr>
        <w:t xml:space="preserve"> </w:t>
      </w:r>
      <w:r w:rsidRPr="00FA33CE">
        <w:rPr>
          <w:rFonts w:ascii="Calibri" w:hAnsi="Calibri" w:cs="Calibri"/>
          <w:sz w:val="22"/>
          <w:szCs w:val="22"/>
        </w:rPr>
        <w:t xml:space="preserve">a násl. </w:t>
      </w:r>
      <w:r w:rsidR="00755E89" w:rsidRPr="00FA33CE">
        <w:rPr>
          <w:rFonts w:ascii="Calibri" w:hAnsi="Calibri" w:cs="Calibri"/>
          <w:sz w:val="22"/>
          <w:szCs w:val="22"/>
        </w:rPr>
        <w:t>občanského zákoníku</w:t>
      </w:r>
      <w:r w:rsidRPr="00FA33CE">
        <w:rPr>
          <w:rFonts w:ascii="Calibri" w:hAnsi="Calibri" w:cs="Calibri"/>
          <w:sz w:val="22"/>
          <w:szCs w:val="22"/>
        </w:rPr>
        <w:t>.</w:t>
      </w:r>
    </w:p>
    <w:p w14:paraId="1642D951" w14:textId="482A49DF"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Veškerá práva Kupujícího vůči Prodávajícímu se promlčí za patnáct (15) let od počátk</w:t>
      </w:r>
      <w:r w:rsidRPr="009C0DCD">
        <w:rPr>
          <w:rFonts w:ascii="Calibri" w:hAnsi="Calibri" w:cs="Calibri"/>
          <w:sz w:val="22"/>
          <w:szCs w:val="22"/>
        </w:rPr>
        <w:t>u běhu příslušné promlčecí doby.</w:t>
      </w:r>
    </w:p>
    <w:p w14:paraId="614F3213" w14:textId="30A17863" w:rsidR="00426844"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Práva a povinnosti z této </w:t>
      </w:r>
      <w:r w:rsidR="008170F4" w:rsidRPr="00FA33CE">
        <w:rPr>
          <w:rFonts w:ascii="Calibri" w:hAnsi="Calibri" w:cs="Calibri"/>
          <w:sz w:val="22"/>
          <w:szCs w:val="22"/>
        </w:rPr>
        <w:t>Rámcové</w:t>
      </w:r>
      <w:r w:rsidRPr="00FA33CE">
        <w:rPr>
          <w:rFonts w:ascii="Calibri" w:hAnsi="Calibri" w:cs="Calibri"/>
          <w:sz w:val="22"/>
          <w:szCs w:val="22"/>
        </w:rPr>
        <w:t xml:space="preserve"> smlouvy přecházejí na právní nástupce Smluvních stran.</w:t>
      </w:r>
    </w:p>
    <w:p w14:paraId="187184EC" w14:textId="40689E0A" w:rsidR="00426844" w:rsidRPr="003F11FC" w:rsidRDefault="00426844" w:rsidP="00B37712">
      <w:pPr>
        <w:pStyle w:val="Zkladntext"/>
        <w:numPr>
          <w:ilvl w:val="1"/>
          <w:numId w:val="16"/>
        </w:numPr>
        <w:spacing w:after="120"/>
        <w:ind w:left="567" w:hanging="567"/>
        <w:rPr>
          <w:rFonts w:ascii="Calibri" w:hAnsi="Calibri" w:cs="Calibri"/>
          <w:sz w:val="22"/>
          <w:szCs w:val="22"/>
        </w:rPr>
      </w:pPr>
      <w:bookmarkStart w:id="58" w:name="_Hlk72408910"/>
      <w:r>
        <w:rPr>
          <w:rFonts w:ascii="Calibri" w:hAnsi="Calibri" w:cs="Calibri"/>
          <w:sz w:val="22"/>
          <w:szCs w:val="22"/>
        </w:rPr>
        <w:t>V případě</w:t>
      </w:r>
      <w:r w:rsidRPr="003F11FC">
        <w:rPr>
          <w:rFonts w:ascii="Calibri" w:hAnsi="Calibri" w:cs="Calibri"/>
          <w:sz w:val="22"/>
          <w:szCs w:val="22"/>
        </w:rPr>
        <w:t xml:space="preserve">, že Dílčí smlouva bude obsahovat ujednání odlišná od této Rámcové smlouvy, budou mít aplikační přednost ujednání obsažená v této Rámcové smlouvě. Ujednání obsažená v Dílčí smlouvě budou mít aplikační přednost pouze za předpokladu, že možnost odlišné úpravy práv a povinností Smluvních stran tato Rámcová smlouva výslovně připouští. </w:t>
      </w:r>
    </w:p>
    <w:bookmarkEnd w:id="58"/>
    <w:p w14:paraId="2C8D2384" w14:textId="6BAC0ABB" w:rsidR="00C34798" w:rsidRPr="00593324" w:rsidRDefault="00C34798" w:rsidP="00B37712">
      <w:pPr>
        <w:pStyle w:val="Zkladntext"/>
        <w:numPr>
          <w:ilvl w:val="1"/>
          <w:numId w:val="16"/>
        </w:numPr>
        <w:spacing w:after="120"/>
        <w:ind w:left="567" w:hanging="567"/>
        <w:rPr>
          <w:rFonts w:ascii="Calibri" w:hAnsi="Calibri" w:cs="Calibri"/>
          <w:sz w:val="22"/>
          <w:szCs w:val="22"/>
        </w:rPr>
      </w:pPr>
      <w:r>
        <w:rPr>
          <w:rFonts w:ascii="Calibri" w:hAnsi="Calibri" w:cs="Calibri"/>
          <w:sz w:val="22"/>
          <w:szCs w:val="22"/>
        </w:rPr>
        <w:t xml:space="preserve">V případě rozporu mezi </w:t>
      </w:r>
      <w:r w:rsidR="00AC23F2">
        <w:rPr>
          <w:rFonts w:ascii="Calibri" w:hAnsi="Calibri" w:cs="Calibri"/>
          <w:sz w:val="22"/>
          <w:szCs w:val="22"/>
        </w:rPr>
        <w:t>Rámcovou smlouvou a jejími přílohami mají přednost ustanovení Rámcové smlouvy, není-li v ní stanoveno jinak. V případě rozporu mezi Dílčí smlouvou a jejími přílohami mají přednost ustanovení Dílčí smlouvy, není-li v Dílčí smlouvě stanoveno jinak.</w:t>
      </w:r>
      <w:r w:rsidR="006448EF" w:rsidRPr="006448EF">
        <w:rPr>
          <w:rFonts w:ascii="Calibri" w:hAnsi="Calibri" w:cs="Calibri"/>
          <w:sz w:val="22"/>
          <w:szCs w:val="22"/>
        </w:rPr>
        <w:t xml:space="preserve"> </w:t>
      </w:r>
    </w:p>
    <w:p w14:paraId="3A1CF43E" w14:textId="1D7920FB" w:rsidR="00FA33CE" w:rsidRPr="009C0DCD" w:rsidRDefault="004B38E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Smluvní strany se tímto zavazují, že vynaloží veškeré úsilí </w:t>
      </w:r>
      <w:r w:rsidR="00ED41A8" w:rsidRPr="009C0DCD">
        <w:rPr>
          <w:rFonts w:ascii="Calibri" w:hAnsi="Calibri" w:cs="Calibri"/>
          <w:sz w:val="22"/>
          <w:szCs w:val="22"/>
        </w:rPr>
        <w:t>k urovnání sporů vzniklých z</w:t>
      </w:r>
      <w:r w:rsidR="00755E89" w:rsidRPr="009C0DCD">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w:t>
      </w:r>
      <w:r w:rsidRPr="00FA33CE">
        <w:rPr>
          <w:rFonts w:ascii="Calibri" w:hAnsi="Calibri" w:cs="Calibri"/>
          <w:sz w:val="22"/>
          <w:szCs w:val="22"/>
        </w:rPr>
        <w:t>s ní zásadně smírnou cestou. Smluvní strany dále sjednávají, že pokud nevyřeší jakýko</w:t>
      </w:r>
      <w:r w:rsidR="00ED41A8" w:rsidRPr="00FA33CE">
        <w:rPr>
          <w:rFonts w:ascii="Calibri" w:hAnsi="Calibri" w:cs="Calibri"/>
          <w:sz w:val="22"/>
          <w:szCs w:val="22"/>
        </w:rPr>
        <w:t>liv spor či nárok vzniklý z</w:t>
      </w:r>
      <w:r w:rsidR="00755E89" w:rsidRPr="00FA33CE">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s ní smírnou cestou, předloží takový spor či nárok ke konečnému rozhodnutí </w:t>
      </w:r>
      <w:r w:rsidR="00FD6BF5" w:rsidRPr="00FA33CE">
        <w:rPr>
          <w:rFonts w:ascii="Calibri" w:hAnsi="Calibri" w:cs="Calibri"/>
          <w:sz w:val="22"/>
          <w:szCs w:val="22"/>
        </w:rPr>
        <w:t>příslušnému</w:t>
      </w:r>
      <w:r w:rsidR="00DC4D9C" w:rsidRPr="00FA33CE">
        <w:rPr>
          <w:rFonts w:ascii="Calibri" w:hAnsi="Calibri" w:cs="Calibri"/>
          <w:sz w:val="22"/>
          <w:szCs w:val="22"/>
        </w:rPr>
        <w:t xml:space="preserve"> soudu dle </w:t>
      </w:r>
      <w:r w:rsidR="0060403C" w:rsidRPr="00FA33CE">
        <w:rPr>
          <w:rFonts w:ascii="Calibri" w:hAnsi="Calibri" w:cs="Calibri"/>
          <w:sz w:val="22"/>
          <w:szCs w:val="22"/>
        </w:rPr>
        <w:t>odst</w:t>
      </w:r>
      <w:r w:rsidR="00DC4D9C" w:rsidRPr="00FA33CE">
        <w:rPr>
          <w:rFonts w:ascii="Calibri" w:hAnsi="Calibri" w:cs="Calibri"/>
          <w:sz w:val="22"/>
          <w:szCs w:val="22"/>
        </w:rPr>
        <w:t xml:space="preserve">. </w:t>
      </w:r>
      <w:r w:rsidR="00CF4873">
        <w:rPr>
          <w:rFonts w:ascii="Calibri" w:hAnsi="Calibri" w:cs="Calibri"/>
          <w:sz w:val="22"/>
          <w:szCs w:val="22"/>
        </w:rPr>
        <w:t>10</w:t>
      </w:r>
      <w:r w:rsidR="00F42D32" w:rsidRPr="00FA33CE">
        <w:rPr>
          <w:rFonts w:ascii="Calibri" w:hAnsi="Calibri" w:cs="Calibri"/>
          <w:sz w:val="22"/>
          <w:szCs w:val="22"/>
        </w:rPr>
        <w:t>.</w:t>
      </w:r>
      <w:r w:rsidR="009A7849">
        <w:rPr>
          <w:rFonts w:ascii="Calibri" w:hAnsi="Calibri" w:cs="Calibri"/>
          <w:sz w:val="22"/>
          <w:szCs w:val="22"/>
        </w:rPr>
        <w:t>9</w:t>
      </w:r>
      <w:r w:rsidR="009A7849" w:rsidRPr="009C0DCD">
        <w:rPr>
          <w:rFonts w:ascii="Calibri" w:hAnsi="Calibri" w:cs="Calibri"/>
          <w:sz w:val="22"/>
          <w:szCs w:val="22"/>
        </w:rPr>
        <w:t xml:space="preserve"> </w:t>
      </w:r>
      <w:r w:rsidR="0060403C" w:rsidRPr="009C0DCD">
        <w:rPr>
          <w:rFonts w:ascii="Calibri" w:hAnsi="Calibri" w:cs="Calibri"/>
          <w:sz w:val="22"/>
          <w:szCs w:val="22"/>
        </w:rPr>
        <w:t xml:space="preserve">tohoto článku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DC4D9C" w:rsidRPr="00FA33CE">
        <w:rPr>
          <w:rFonts w:ascii="Calibri" w:hAnsi="Calibri" w:cs="Calibri"/>
          <w:sz w:val="22"/>
          <w:szCs w:val="22"/>
        </w:rPr>
        <w:t>smlouvy.</w:t>
      </w:r>
    </w:p>
    <w:p w14:paraId="7C672422" w14:textId="09D028C9" w:rsidR="00FA33CE" w:rsidRPr="009C0DCD" w:rsidRDefault="00FD6BF5" w:rsidP="00B37712">
      <w:pPr>
        <w:pStyle w:val="Zkladntext"/>
        <w:numPr>
          <w:ilvl w:val="1"/>
          <w:numId w:val="16"/>
        </w:numPr>
        <w:spacing w:after="120"/>
        <w:ind w:left="567" w:hanging="567"/>
        <w:rPr>
          <w:rFonts w:ascii="Calibri" w:hAnsi="Calibri" w:cs="Calibri"/>
          <w:color w:val="000000"/>
          <w:sz w:val="22"/>
          <w:szCs w:val="22"/>
        </w:rPr>
      </w:pPr>
      <w:r w:rsidRPr="009C0DCD">
        <w:rPr>
          <w:rFonts w:ascii="Calibri" w:hAnsi="Calibri" w:cs="Calibri"/>
          <w:color w:val="000000"/>
          <w:sz w:val="22"/>
          <w:szCs w:val="22"/>
        </w:rPr>
        <w:t>Veš</w:t>
      </w:r>
      <w:r w:rsidRPr="00322C9D">
        <w:rPr>
          <w:rFonts w:ascii="Calibri" w:hAnsi="Calibri" w:cs="Calibri"/>
          <w:color w:val="000000"/>
          <w:sz w:val="22"/>
          <w:szCs w:val="22"/>
        </w:rPr>
        <w:t>keré spory vyplývající z</w:t>
      </w:r>
      <w:r w:rsidR="00755E89" w:rsidRPr="009C0DCD">
        <w:rPr>
          <w:rFonts w:ascii="Calibri" w:hAnsi="Calibri" w:cs="Calibri"/>
          <w:color w:val="000000"/>
          <w:sz w:val="22"/>
          <w:szCs w:val="22"/>
        </w:rPr>
        <w:t> </w:t>
      </w:r>
      <w:r w:rsidRPr="009C0DCD">
        <w:rPr>
          <w:rFonts w:ascii="Calibri" w:hAnsi="Calibri" w:cs="Calibri"/>
          <w:color w:val="000000"/>
          <w:sz w:val="22"/>
          <w:szCs w:val="22"/>
        </w:rPr>
        <w:t xml:space="preserve">této </w:t>
      </w:r>
      <w:r w:rsidR="008170F4" w:rsidRPr="00FA33CE">
        <w:rPr>
          <w:rFonts w:ascii="Calibri" w:hAnsi="Calibri" w:cs="Calibri"/>
          <w:color w:val="000000"/>
          <w:sz w:val="22"/>
          <w:szCs w:val="22"/>
        </w:rPr>
        <w:t>Rámcové</w:t>
      </w:r>
      <w:r w:rsidRPr="00FA33CE">
        <w:rPr>
          <w:rFonts w:ascii="Calibri" w:hAnsi="Calibri" w:cs="Calibri"/>
          <w:color w:val="000000"/>
          <w:sz w:val="22"/>
          <w:szCs w:val="22"/>
        </w:rPr>
        <w:t xml:space="preserve"> smlouvy a s</w:t>
      </w:r>
      <w:r w:rsidR="00755E89" w:rsidRPr="00FA33CE">
        <w:rPr>
          <w:rFonts w:ascii="Calibri" w:hAnsi="Calibri" w:cs="Calibri"/>
          <w:color w:val="000000"/>
          <w:sz w:val="22"/>
          <w:szCs w:val="22"/>
        </w:rPr>
        <w:t> </w:t>
      </w:r>
      <w:r w:rsidRPr="00FA33CE">
        <w:rPr>
          <w:rFonts w:ascii="Calibri" w:hAnsi="Calibri" w:cs="Calibri"/>
          <w:color w:val="000000"/>
          <w:sz w:val="22"/>
          <w:szCs w:val="22"/>
        </w:rPr>
        <w:t xml:space="preserve">touto </w:t>
      </w:r>
      <w:r w:rsidR="0060403C" w:rsidRPr="00FA33CE">
        <w:rPr>
          <w:rFonts w:ascii="Calibri" w:hAnsi="Calibri" w:cs="Calibri"/>
          <w:color w:val="000000"/>
          <w:sz w:val="22"/>
          <w:szCs w:val="22"/>
        </w:rPr>
        <w:t>Rámcovou</w:t>
      </w:r>
      <w:r w:rsidRPr="00FA33CE">
        <w:rPr>
          <w:rFonts w:ascii="Calibri" w:hAnsi="Calibri" w:cs="Calibri"/>
          <w:color w:val="000000"/>
          <w:sz w:val="22"/>
          <w:szCs w:val="22"/>
        </w:rPr>
        <w:t xml:space="preserve"> smlouvou související, jakož i veškeré spory vyplývající z Dílčích smluv a s těmito </w:t>
      </w:r>
      <w:r w:rsidR="00534BE0" w:rsidRPr="00FA33CE">
        <w:rPr>
          <w:rFonts w:ascii="Calibri" w:hAnsi="Calibri" w:cs="Calibri"/>
          <w:color w:val="000000"/>
          <w:sz w:val="22"/>
          <w:szCs w:val="22"/>
        </w:rPr>
        <w:t xml:space="preserve">Dílčími </w:t>
      </w:r>
      <w:r w:rsidRPr="00FA33CE">
        <w:rPr>
          <w:rFonts w:ascii="Calibri" w:hAnsi="Calibri" w:cs="Calibri"/>
          <w:color w:val="000000"/>
          <w:sz w:val="22"/>
          <w:szCs w:val="22"/>
        </w:rPr>
        <w:t>smlouvami související, se budou řešit u soudu věcně příslušného podle právních předpisů České republiky a místně příslušného podle sídla Kupujícího.</w:t>
      </w:r>
    </w:p>
    <w:p w14:paraId="556AA65E" w14:textId="7E0F4177"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Tut</w:t>
      </w:r>
      <w:r w:rsidRPr="00322C9D">
        <w:rPr>
          <w:rFonts w:ascii="Calibri" w:hAnsi="Calibri" w:cs="Calibri"/>
          <w:sz w:val="22"/>
          <w:szCs w:val="22"/>
        </w:rPr>
        <w:t xml:space="preserve">o </w:t>
      </w:r>
      <w:r w:rsidR="0060403C" w:rsidRPr="009C0DCD">
        <w:rPr>
          <w:rFonts w:ascii="Calibri" w:hAnsi="Calibri" w:cs="Calibri"/>
          <w:sz w:val="22"/>
          <w:szCs w:val="22"/>
        </w:rPr>
        <w:t>Rámcovou</w:t>
      </w:r>
      <w:r w:rsidR="00755E89" w:rsidRPr="009C0DCD">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 xml:space="preserve">lze změnit pouze písemnou dohodou </w:t>
      </w:r>
      <w:r w:rsidR="00755E89" w:rsidRPr="00FA33CE">
        <w:rPr>
          <w:rFonts w:ascii="Calibri" w:hAnsi="Calibri" w:cs="Calibri"/>
          <w:sz w:val="22"/>
          <w:szCs w:val="22"/>
        </w:rPr>
        <w:t xml:space="preserve">Smluvních </w:t>
      </w:r>
      <w:r w:rsidRPr="00FA33CE">
        <w:rPr>
          <w:rFonts w:ascii="Calibri" w:hAnsi="Calibri" w:cs="Calibri"/>
          <w:sz w:val="22"/>
          <w:szCs w:val="22"/>
        </w:rPr>
        <w:t xml:space="preserve">stran. Tuto </w:t>
      </w:r>
      <w:r w:rsidR="0060403C" w:rsidRPr="00FA33CE">
        <w:rPr>
          <w:rFonts w:ascii="Calibri" w:hAnsi="Calibri" w:cs="Calibri"/>
          <w:sz w:val="22"/>
          <w:szCs w:val="22"/>
        </w:rPr>
        <w:t>R</w:t>
      </w:r>
      <w:r w:rsidR="0060403C" w:rsidRPr="00322C9D">
        <w:rPr>
          <w:rFonts w:ascii="Calibri" w:hAnsi="Calibri" w:cs="Calibri"/>
          <w:sz w:val="22"/>
          <w:szCs w:val="22"/>
        </w:rPr>
        <w:t>ámcovou</w:t>
      </w:r>
      <w:r w:rsidR="00755E89" w:rsidRPr="009C0DCD">
        <w:rPr>
          <w:rFonts w:ascii="Calibri" w:hAnsi="Calibri" w:cs="Calibri"/>
          <w:sz w:val="22"/>
          <w:szCs w:val="22"/>
        </w:rPr>
        <w:t xml:space="preserve"> </w:t>
      </w:r>
      <w:r w:rsidRPr="009C0DCD">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 xml:space="preserve">lze zrušit pouze písemně. Za písemnou formu je považována pouze forma listiny opatřená podpisy oprávněných zástupců </w:t>
      </w:r>
      <w:r w:rsidR="00755E89" w:rsidRPr="00FA33CE">
        <w:rPr>
          <w:rFonts w:ascii="Calibri" w:hAnsi="Calibri" w:cs="Calibri"/>
          <w:sz w:val="22"/>
          <w:szCs w:val="22"/>
        </w:rPr>
        <w:t>S</w:t>
      </w:r>
      <w:r w:rsidRPr="00FA33CE">
        <w:rPr>
          <w:rFonts w:ascii="Calibri" w:hAnsi="Calibri" w:cs="Calibri"/>
          <w:sz w:val="22"/>
          <w:szCs w:val="22"/>
        </w:rPr>
        <w:t xml:space="preserve">mluvních stran. Za písemnou formu nebude považována výměna e-mailových, či jiných elektronických zpráv. Jakékoliv jednostranné písemné potvrzení ústního jednání nepředstavuje písemnou změnu nebo zrušení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322C9D">
        <w:rPr>
          <w:rFonts w:ascii="Calibri" w:hAnsi="Calibri" w:cs="Calibri"/>
          <w:sz w:val="22"/>
          <w:szCs w:val="22"/>
        </w:rPr>
        <w:t xml:space="preserve">či Dílčí </w:t>
      </w:r>
      <w:r w:rsidRPr="009C0DCD">
        <w:rPr>
          <w:rFonts w:ascii="Calibri" w:hAnsi="Calibri" w:cs="Calibri"/>
          <w:sz w:val="22"/>
          <w:szCs w:val="22"/>
        </w:rPr>
        <w:t>smlouvy.</w:t>
      </w:r>
    </w:p>
    <w:p w14:paraId="3D31E886" w14:textId="713D856A" w:rsidR="00322C9D" w:rsidRPr="00445A8E" w:rsidRDefault="007F6E9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Jakéko</w:t>
      </w:r>
      <w:r w:rsidRPr="00322C9D">
        <w:rPr>
          <w:rFonts w:ascii="Calibri" w:hAnsi="Calibri" w:cs="Calibri"/>
          <w:sz w:val="22"/>
          <w:szCs w:val="22"/>
        </w:rPr>
        <w:t>liv vzdání se práva, prominutí dluhu nebo uznání záv</w:t>
      </w:r>
      <w:r w:rsidRPr="009C0DCD">
        <w:rPr>
          <w:rFonts w:ascii="Calibri" w:hAnsi="Calibri" w:cs="Calibri"/>
          <w:sz w:val="22"/>
          <w:szCs w:val="22"/>
        </w:rPr>
        <w:t>azku je platné pouze za předpokladu, že bude učiněno písemně v listinné podobě a podepsáno oprávněným zástupc</w:t>
      </w:r>
      <w:r w:rsidR="00BD29F3" w:rsidRPr="00FA33CE">
        <w:rPr>
          <w:rFonts w:ascii="Calibri" w:hAnsi="Calibri" w:cs="Calibri"/>
          <w:sz w:val="22"/>
          <w:szCs w:val="22"/>
        </w:rPr>
        <w:t>em</w:t>
      </w:r>
      <w:r w:rsidRPr="00FA33CE">
        <w:rPr>
          <w:rFonts w:ascii="Calibri" w:hAnsi="Calibri" w:cs="Calibri"/>
          <w:sz w:val="22"/>
          <w:szCs w:val="22"/>
        </w:rPr>
        <w:t xml:space="preserve"> </w:t>
      </w:r>
      <w:r w:rsidR="00755E89" w:rsidRPr="00FA33CE">
        <w:rPr>
          <w:rFonts w:ascii="Calibri" w:hAnsi="Calibri" w:cs="Calibri"/>
          <w:sz w:val="22"/>
          <w:szCs w:val="22"/>
        </w:rPr>
        <w:t>S</w:t>
      </w:r>
      <w:r w:rsidRPr="00FA33CE">
        <w:rPr>
          <w:rFonts w:ascii="Calibri" w:hAnsi="Calibri" w:cs="Calibri"/>
          <w:sz w:val="22"/>
          <w:szCs w:val="22"/>
        </w:rPr>
        <w:t>mluvní stran</w:t>
      </w:r>
      <w:r w:rsidR="00BD29F3" w:rsidRPr="00FA33CE">
        <w:rPr>
          <w:rFonts w:ascii="Calibri" w:hAnsi="Calibri" w:cs="Calibri"/>
          <w:sz w:val="22"/>
          <w:szCs w:val="22"/>
        </w:rPr>
        <w:t>y</w:t>
      </w:r>
      <w:r w:rsidRPr="00FA33CE">
        <w:rPr>
          <w:rFonts w:ascii="Calibri" w:hAnsi="Calibri" w:cs="Calibri"/>
          <w:sz w:val="22"/>
          <w:szCs w:val="22"/>
        </w:rPr>
        <w:t>.</w:t>
      </w:r>
    </w:p>
    <w:p w14:paraId="1CDF0FE3" w14:textId="682CEBF8"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 xml:space="preserve">Tuto </w:t>
      </w:r>
      <w:r w:rsidR="0060403C" w:rsidRPr="009C0DCD">
        <w:rPr>
          <w:rFonts w:ascii="Calibri" w:hAnsi="Calibri" w:cs="Calibri"/>
          <w:sz w:val="22"/>
          <w:szCs w:val="22"/>
        </w:rPr>
        <w:t>Rámcovou</w:t>
      </w:r>
      <w:r w:rsidR="00755E89" w:rsidRPr="00FA33CE">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postoupit pouze s předchozím výslovným písemným souhlasem Kupujícího.</w:t>
      </w:r>
    </w:p>
    <w:p w14:paraId="3F2D8A0B" w14:textId="20784B15"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w:t>
      </w:r>
      <w:r w:rsidRPr="00322C9D">
        <w:rPr>
          <w:rFonts w:ascii="Calibri" w:hAnsi="Calibri" w:cs="Calibri"/>
          <w:sz w:val="22"/>
          <w:szCs w:val="22"/>
        </w:rPr>
        <w:t xml:space="preserve">ři výkladu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w:t>
      </w:r>
      <w:r w:rsidR="00B7258D" w:rsidRPr="00FA33CE">
        <w:rPr>
          <w:rFonts w:ascii="Calibri" w:hAnsi="Calibri" w:cs="Calibri"/>
          <w:sz w:val="22"/>
          <w:szCs w:val="22"/>
        </w:rPr>
        <w:t xml:space="preserve">a Dílčích smluv </w:t>
      </w:r>
      <w:r w:rsidRPr="00FA33CE">
        <w:rPr>
          <w:rFonts w:ascii="Calibri" w:hAnsi="Calibri" w:cs="Calibri"/>
          <w:sz w:val="22"/>
          <w:szCs w:val="22"/>
        </w:rPr>
        <w:t xml:space="preserve">se nebude přihlížet k žádným obchodním zvyklostem, předsmluvním ujednáním ani případné zavedené praxi </w:t>
      </w:r>
      <w:r w:rsidR="00BB2336" w:rsidRPr="00FA33CE">
        <w:rPr>
          <w:rFonts w:ascii="Calibri" w:hAnsi="Calibri" w:cs="Calibri"/>
          <w:sz w:val="22"/>
          <w:szCs w:val="22"/>
        </w:rPr>
        <w:t xml:space="preserve">Smluvních </w:t>
      </w:r>
      <w:r w:rsidRPr="00FA33CE">
        <w:rPr>
          <w:rFonts w:ascii="Calibri" w:hAnsi="Calibri" w:cs="Calibri"/>
          <w:sz w:val="22"/>
          <w:szCs w:val="22"/>
        </w:rPr>
        <w:t>stran.</w:t>
      </w:r>
      <w:r w:rsidR="005D1F38" w:rsidRPr="00FA33CE">
        <w:rPr>
          <w:rFonts w:ascii="Calibri" w:hAnsi="Calibri" w:cs="Calibri"/>
          <w:sz w:val="22"/>
          <w:szCs w:val="22"/>
        </w:rPr>
        <w:t xml:space="preserve"> </w:t>
      </w:r>
      <w:r w:rsidR="00BB2336" w:rsidRPr="00FA33CE">
        <w:rPr>
          <w:rFonts w:ascii="Calibri" w:hAnsi="Calibri" w:cs="Calibri"/>
          <w:sz w:val="22"/>
          <w:szCs w:val="22"/>
        </w:rPr>
        <w:t>Smluvní s</w:t>
      </w:r>
      <w:r w:rsidR="005D1F38" w:rsidRPr="00FA33CE">
        <w:rPr>
          <w:rFonts w:ascii="Calibri" w:hAnsi="Calibri" w:cs="Calibri"/>
          <w:sz w:val="22"/>
          <w:szCs w:val="22"/>
        </w:rPr>
        <w:t xml:space="preserve">trany vylučují aplikaci pravidla </w:t>
      </w:r>
      <w:proofErr w:type="spellStart"/>
      <w:r w:rsidR="005D1F38" w:rsidRPr="00FA33CE">
        <w:rPr>
          <w:rFonts w:ascii="Calibri" w:hAnsi="Calibri" w:cs="Calibri"/>
          <w:sz w:val="22"/>
          <w:szCs w:val="22"/>
        </w:rPr>
        <w:t>contra</w:t>
      </w:r>
      <w:proofErr w:type="spellEnd"/>
      <w:r w:rsidR="005D1F38" w:rsidRPr="00FA33CE">
        <w:rPr>
          <w:rFonts w:ascii="Calibri" w:hAnsi="Calibri" w:cs="Calibri"/>
          <w:sz w:val="22"/>
          <w:szCs w:val="22"/>
        </w:rPr>
        <w:t xml:space="preserve"> </w:t>
      </w:r>
      <w:proofErr w:type="spellStart"/>
      <w:r w:rsidR="005D1F38" w:rsidRPr="00FA33CE">
        <w:rPr>
          <w:rFonts w:ascii="Calibri" w:hAnsi="Calibri" w:cs="Calibri"/>
          <w:sz w:val="22"/>
          <w:szCs w:val="22"/>
        </w:rPr>
        <w:t>proferentem</w:t>
      </w:r>
      <w:proofErr w:type="spellEnd"/>
      <w:r w:rsidR="005D1F38" w:rsidRPr="00FA33CE">
        <w:rPr>
          <w:rFonts w:ascii="Calibri" w:hAnsi="Calibri" w:cs="Calibri"/>
          <w:sz w:val="22"/>
          <w:szCs w:val="22"/>
        </w:rPr>
        <w:t xml:space="preserve"> (§ 557 </w:t>
      </w:r>
      <w:r w:rsidR="00CA0BF6">
        <w:rPr>
          <w:rFonts w:ascii="Calibri" w:hAnsi="Calibri" w:cs="Calibri"/>
          <w:sz w:val="22"/>
          <w:szCs w:val="22"/>
        </w:rPr>
        <w:t>občanského zákoníku</w:t>
      </w:r>
      <w:r w:rsidR="005D1F38" w:rsidRPr="00FA33CE">
        <w:rPr>
          <w:rFonts w:ascii="Calibri" w:hAnsi="Calibri" w:cs="Calibri"/>
          <w:sz w:val="22"/>
          <w:szCs w:val="22"/>
        </w:rPr>
        <w:t xml:space="preserve">). </w:t>
      </w:r>
    </w:p>
    <w:p w14:paraId="434CB948" w14:textId="13ED601D" w:rsidR="00FA33CE" w:rsidRPr="00FA33CE" w:rsidRDefault="00BC1B2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Pokud</w:t>
      </w:r>
      <w:r w:rsidR="001B02C8" w:rsidRPr="00FA33CE">
        <w:rPr>
          <w:rFonts w:ascii="Calibri" w:hAnsi="Calibri" w:cs="Calibri"/>
          <w:sz w:val="22"/>
          <w:szCs w:val="22"/>
        </w:rPr>
        <w:t xml:space="preserve"> by jednotlivá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 xml:space="preserve">mlouvy </w:t>
      </w:r>
      <w:r w:rsidR="001B02C8" w:rsidRPr="00FA33CE">
        <w:rPr>
          <w:rFonts w:ascii="Calibri" w:hAnsi="Calibri" w:cs="Calibri"/>
          <w:sz w:val="22"/>
          <w:szCs w:val="22"/>
        </w:rPr>
        <w:t xml:space="preserve">nebo Dílčích smluv </w:t>
      </w:r>
      <w:r w:rsidRPr="00FA33CE">
        <w:rPr>
          <w:rFonts w:ascii="Calibri" w:hAnsi="Calibri" w:cs="Calibri"/>
          <w:sz w:val="22"/>
          <w:szCs w:val="22"/>
        </w:rPr>
        <w:t>byla nerealizovatelná nebo neplatná, nebo by se nerealizovatelnými nebo neplatnými stala, nebude tímto dotčena platnost osta</w:t>
      </w:r>
      <w:r w:rsidR="001B02C8" w:rsidRPr="00FA33CE">
        <w:rPr>
          <w:rFonts w:ascii="Calibri" w:hAnsi="Calibri" w:cs="Calibri"/>
          <w:sz w:val="22"/>
          <w:szCs w:val="22"/>
        </w:rPr>
        <w:t xml:space="preserve">tních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Smluvní strany se zavazují, že případné neplatné nebo ne</w:t>
      </w:r>
      <w:r w:rsidR="001B02C8" w:rsidRPr="00FA33CE">
        <w:rPr>
          <w:rFonts w:ascii="Calibri" w:hAnsi="Calibri" w:cs="Calibri"/>
          <w:sz w:val="22"/>
          <w:szCs w:val="22"/>
        </w:rPr>
        <w:t xml:space="preserve">realizovatelné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xml:space="preserve"> nahradí takovým ustanovením, které se</w:t>
      </w:r>
      <w:r w:rsidR="006D50E5">
        <w:rPr>
          <w:rFonts w:ascii="Calibri" w:hAnsi="Calibri" w:cs="Calibri"/>
          <w:sz w:val="22"/>
          <w:szCs w:val="22"/>
        </w:rPr>
        <w:t>,</w:t>
      </w:r>
      <w:r w:rsidRPr="00FA33CE">
        <w:rPr>
          <w:rFonts w:ascii="Calibri" w:hAnsi="Calibri" w:cs="Calibri"/>
          <w:sz w:val="22"/>
          <w:szCs w:val="22"/>
        </w:rPr>
        <w:t xml:space="preserve"> pokud možno</w:t>
      </w:r>
      <w:r w:rsidR="006D50E5">
        <w:rPr>
          <w:rFonts w:ascii="Calibri" w:hAnsi="Calibri" w:cs="Calibri"/>
          <w:sz w:val="22"/>
          <w:szCs w:val="22"/>
        </w:rPr>
        <w:t>,</w:t>
      </w:r>
      <w:r w:rsidRPr="00FA33CE">
        <w:rPr>
          <w:rFonts w:ascii="Calibri" w:hAnsi="Calibri" w:cs="Calibri"/>
          <w:sz w:val="22"/>
          <w:szCs w:val="22"/>
        </w:rPr>
        <w:t xml:space="preserve"> co nejvíce blíží hospodářskému účelu původního ustanovení.</w:t>
      </w:r>
    </w:p>
    <w:p w14:paraId="1B2EDB3E" w14:textId="08ED378E"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w:t>
      </w:r>
      <w:r w:rsidRPr="00322C9D">
        <w:rPr>
          <w:rFonts w:ascii="Calibri" w:hAnsi="Calibri" w:cs="Calibri"/>
          <w:sz w:val="22"/>
          <w:szCs w:val="22"/>
        </w:rPr>
        <w:t xml:space="preserve">luvní strany berou na vědomí, </w:t>
      </w:r>
      <w:r w:rsidRPr="009C0DCD">
        <w:rPr>
          <w:rFonts w:ascii="Calibri" w:hAnsi="Calibri" w:cs="Calibri"/>
          <w:sz w:val="22"/>
          <w:szCs w:val="22"/>
        </w:rPr>
        <w:t>že Kupující je povinným subjektem ve smyslu ustanovení § 2 odst. 1 písm. n) zákona č. 340/2015 Sb., o zvláštních podmínkách účinnosti některých smluv, uveřejňování těchto smluv a</w:t>
      </w:r>
      <w:r w:rsidRPr="00FA33CE">
        <w:rPr>
          <w:rFonts w:ascii="Calibri" w:hAnsi="Calibri" w:cs="Calibri"/>
          <w:sz w:val="22"/>
          <w:szCs w:val="22"/>
        </w:rPr>
        <w:t xml:space="preserve"> o registru smluv. Vzhledem k tomu, že tato </w:t>
      </w:r>
      <w:r w:rsidR="008170F4" w:rsidRPr="00FA33CE">
        <w:rPr>
          <w:rFonts w:ascii="Calibri" w:hAnsi="Calibri" w:cs="Calibri"/>
          <w:sz w:val="22"/>
          <w:szCs w:val="22"/>
        </w:rPr>
        <w:t>Rámcová</w:t>
      </w:r>
      <w:r w:rsidRPr="00FA33CE">
        <w:rPr>
          <w:rFonts w:ascii="Calibri" w:hAnsi="Calibri" w:cs="Calibri"/>
          <w:sz w:val="22"/>
          <w:szCs w:val="22"/>
        </w:rPr>
        <w:t xml:space="preserve"> smlouva je uzavírána v běžném obchodním styku v rozsahu předmětu podnikání Kupujícího, nevztahuje se na tuto </w:t>
      </w:r>
      <w:r w:rsidR="0060403C" w:rsidRPr="00FA33CE">
        <w:rPr>
          <w:rFonts w:ascii="Calibri" w:hAnsi="Calibri" w:cs="Calibri"/>
          <w:sz w:val="22"/>
          <w:szCs w:val="22"/>
        </w:rPr>
        <w:t>Rámcovou</w:t>
      </w:r>
      <w:r w:rsidRPr="00FA33CE">
        <w:rPr>
          <w:rFonts w:ascii="Calibri" w:hAnsi="Calibri" w:cs="Calibri"/>
          <w:sz w:val="22"/>
          <w:szCs w:val="22"/>
        </w:rPr>
        <w:t xml:space="preserve"> smlouvu povinnost uveřejnění prostřednictvím registru smluv.</w:t>
      </w:r>
    </w:p>
    <w:p w14:paraId="4C2A93BA" w14:textId="3614D714"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Tat</w:t>
      </w:r>
      <w:r w:rsidRPr="00322C9D">
        <w:rPr>
          <w:rFonts w:ascii="Calibri" w:hAnsi="Calibri" w:cs="Calibri"/>
          <w:sz w:val="22"/>
          <w:szCs w:val="22"/>
        </w:rPr>
        <w:t xml:space="preserve">o </w:t>
      </w:r>
      <w:r w:rsidR="008170F4" w:rsidRPr="009C0DCD">
        <w:rPr>
          <w:rFonts w:ascii="Calibri" w:hAnsi="Calibri" w:cs="Calibri"/>
          <w:sz w:val="22"/>
          <w:szCs w:val="22"/>
        </w:rPr>
        <w:t>Rámcová</w:t>
      </w:r>
      <w:r w:rsidRPr="009C0DCD">
        <w:rPr>
          <w:rFonts w:ascii="Calibri" w:hAnsi="Calibri" w:cs="Calibri"/>
          <w:sz w:val="22"/>
          <w:szCs w:val="22"/>
        </w:rPr>
        <w:t xml:space="preserve"> smlouva se v</w:t>
      </w:r>
      <w:r w:rsidRPr="00FA33CE">
        <w:rPr>
          <w:rFonts w:ascii="Calibri" w:hAnsi="Calibri" w:cs="Calibri"/>
          <w:sz w:val="22"/>
          <w:szCs w:val="22"/>
        </w:rPr>
        <w:t>yhotovuje ve dvou stejnopisech, z nichž po jedné obdrží každá ze Smluvních stran.</w:t>
      </w:r>
    </w:p>
    <w:p w14:paraId="329AF7C6" w14:textId="02F0484B" w:rsidR="00FA33CE" w:rsidRDefault="001B02C8"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Smlu</w:t>
      </w:r>
      <w:r w:rsidRPr="00322C9D">
        <w:rPr>
          <w:rFonts w:ascii="Calibri" w:hAnsi="Calibri" w:cs="Calibri"/>
          <w:sz w:val="22"/>
          <w:szCs w:val="22"/>
        </w:rPr>
        <w:t xml:space="preserve">vní strany prohlašují, že se důkladně seznámily s obsahem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a že mu rozumí. Dále prohlašují, že obsah této </w:t>
      </w:r>
      <w:r w:rsidR="008170F4" w:rsidRPr="00FA33CE">
        <w:rPr>
          <w:rFonts w:ascii="Calibri" w:hAnsi="Calibri" w:cs="Calibri"/>
          <w:sz w:val="22"/>
          <w:szCs w:val="22"/>
        </w:rPr>
        <w:t>Rámcové</w:t>
      </w:r>
      <w:r w:rsidR="007C5C44" w:rsidRPr="00FA33CE">
        <w:rPr>
          <w:rFonts w:ascii="Calibri" w:hAnsi="Calibri" w:cs="Calibri"/>
          <w:sz w:val="22"/>
          <w:szCs w:val="22"/>
        </w:rPr>
        <w:t xml:space="preserve"> </w:t>
      </w:r>
      <w:r w:rsidRPr="00FA33CE">
        <w:rPr>
          <w:rFonts w:ascii="Calibri" w:hAnsi="Calibri" w:cs="Calibri"/>
          <w:sz w:val="22"/>
          <w:szCs w:val="22"/>
        </w:rPr>
        <w:t xml:space="preserve">smlouvy vyjadřuje jejich svobodnou, vážnou a pravou vůli, a proto na důkaz svého souhlasu s touto </w:t>
      </w:r>
      <w:r w:rsidR="0060403C" w:rsidRPr="00FA33CE">
        <w:rPr>
          <w:rFonts w:ascii="Calibri" w:hAnsi="Calibri" w:cs="Calibri"/>
          <w:sz w:val="22"/>
          <w:szCs w:val="22"/>
        </w:rPr>
        <w:t>Rámcovou</w:t>
      </w:r>
      <w:r w:rsidR="007C5C44" w:rsidRPr="00FA33CE">
        <w:rPr>
          <w:rFonts w:ascii="Calibri" w:hAnsi="Calibri" w:cs="Calibri"/>
          <w:sz w:val="22"/>
          <w:szCs w:val="22"/>
        </w:rPr>
        <w:t xml:space="preserve"> </w:t>
      </w:r>
      <w:r w:rsidRPr="00FA33CE">
        <w:rPr>
          <w:rFonts w:ascii="Calibri" w:hAnsi="Calibri" w:cs="Calibri"/>
          <w:sz w:val="22"/>
          <w:szCs w:val="22"/>
        </w:rPr>
        <w:t>smlouvou níže připojují své podpisy.</w:t>
      </w:r>
    </w:p>
    <w:bookmarkEnd w:id="56"/>
    <w:bookmarkEnd w:id="57"/>
    <w:p w14:paraId="221E38CE" w14:textId="1B5B6CA3" w:rsidR="0034465B" w:rsidRPr="0034465B" w:rsidRDefault="0060403C" w:rsidP="0034465B">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Nedíln</w:t>
      </w:r>
      <w:r w:rsidRPr="00322C9D">
        <w:rPr>
          <w:rFonts w:ascii="Calibri" w:hAnsi="Calibri" w:cs="Calibri"/>
          <w:sz w:val="22"/>
          <w:szCs w:val="22"/>
        </w:rPr>
        <w:t xml:space="preserve">ou součástí této Rámcové smlouvy </w:t>
      </w:r>
      <w:r w:rsidR="00322C9D" w:rsidRPr="00D547E7">
        <w:rPr>
          <w:rFonts w:ascii="Calibri" w:hAnsi="Calibri" w:cs="Calibri"/>
          <w:sz w:val="22"/>
          <w:szCs w:val="22"/>
        </w:rPr>
        <w:t>j</w:t>
      </w:r>
      <w:r w:rsidR="00823DB7" w:rsidRPr="00D547E7">
        <w:rPr>
          <w:rFonts w:ascii="Calibri" w:hAnsi="Calibri" w:cs="Calibri"/>
          <w:sz w:val="22"/>
          <w:szCs w:val="22"/>
        </w:rPr>
        <w:t>sou</w:t>
      </w:r>
      <w:r w:rsidRPr="00D547E7">
        <w:rPr>
          <w:rFonts w:ascii="Calibri" w:hAnsi="Calibri" w:cs="Calibri"/>
          <w:sz w:val="22"/>
          <w:szCs w:val="22"/>
        </w:rPr>
        <w:t>:</w:t>
      </w:r>
    </w:p>
    <w:p w14:paraId="6A9C8C59" w14:textId="3E9F201D"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9"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0C4C4A">
        <w:rPr>
          <w:rFonts w:asciiTheme="minorHAnsi" w:hAnsiTheme="minorHAnsi" w:cstheme="minorHAnsi"/>
          <w:sz w:val="22"/>
          <w:szCs w:val="22"/>
        </w:rPr>
        <w:t>Závazné podmínky</w:t>
      </w:r>
      <w:r w:rsidR="000C4C4A" w:rsidRPr="00AA1AE6">
        <w:rPr>
          <w:rFonts w:asciiTheme="minorHAnsi" w:hAnsiTheme="minorHAnsi" w:cstheme="minorHAnsi"/>
          <w:sz w:val="22"/>
          <w:szCs w:val="22"/>
        </w:rPr>
        <w:t>;</w:t>
      </w:r>
    </w:p>
    <w:p w14:paraId="3B7D7DE6" w14:textId="799FC329" w:rsidR="0015795F"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0C4C4A" w:rsidRPr="0015795F">
        <w:rPr>
          <w:rFonts w:ascii="Calibri" w:hAnsi="Calibri" w:cs="Calibri"/>
          <w:sz w:val="22"/>
          <w:szCs w:val="22"/>
        </w:rPr>
        <w:t>Prohlášení</w:t>
      </w:r>
      <w:r w:rsidR="000C4C4A">
        <w:rPr>
          <w:rFonts w:ascii="Calibri" w:hAnsi="Calibri" w:cs="Calibri"/>
          <w:sz w:val="22"/>
          <w:szCs w:val="22"/>
        </w:rPr>
        <w:t xml:space="preserve"> odpovědného zástupce externí osoby;</w:t>
      </w:r>
    </w:p>
    <w:p w14:paraId="1C455179" w14:textId="5A469E2F" w:rsidR="003B42A7" w:rsidRDefault="0015795F" w:rsidP="000C4C4A">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 xml:space="preserve">Příloha č. 3 </w:t>
      </w:r>
      <w:r w:rsidR="000C4C4A">
        <w:rPr>
          <w:rFonts w:ascii="Calibri" w:hAnsi="Calibri" w:cs="Calibri"/>
          <w:sz w:val="22"/>
          <w:szCs w:val="22"/>
        </w:rPr>
        <w:t>– Ceník.</w:t>
      </w:r>
    </w:p>
    <w:bookmarkEnd w:id="59"/>
    <w:p w14:paraId="0A82A5F9" w14:textId="77777777" w:rsidR="0034465B" w:rsidRDefault="0034465B" w:rsidP="007D5BD7">
      <w:pPr>
        <w:pStyle w:val="Zkladntext"/>
        <w:spacing w:before="60"/>
        <w:rPr>
          <w:rFonts w:ascii="Calibri" w:hAnsi="Calibri" w:cs="Calibri"/>
          <w:sz w:val="22"/>
          <w:szCs w:val="22"/>
        </w:rPr>
      </w:pPr>
    </w:p>
    <w:p w14:paraId="5C8AF317" w14:textId="77777777" w:rsidR="0034465B" w:rsidRDefault="0034465B"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063BA2">
              <w:rPr>
                <w:rFonts w:ascii="Calibri" w:hAnsi="Calibri" w:cs="Calibri"/>
                <w:b/>
                <w:bCs/>
                <w:color w:val="333333"/>
                <w:sz w:val="22"/>
                <w:szCs w:val="22"/>
                <w:highlight w:val="yellow"/>
                <w:shd w:val="clear" w:color="auto" w:fill="FFFFFF"/>
              </w:rPr>
              <w:t>doplní Prodávající</w:t>
            </w:r>
          </w:p>
          <w:p w14:paraId="71E9A0DA" w14:textId="74FF50A2"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063BA2">
              <w:rPr>
                <w:rFonts w:ascii="Calibri" w:hAnsi="Calibri" w:cs="Calibri"/>
                <w:b/>
                <w:bCs/>
                <w:color w:val="333333"/>
                <w:sz w:val="22"/>
                <w:szCs w:val="22"/>
                <w:highlight w:val="yellow"/>
                <w:shd w:val="clear" w:color="auto" w:fill="FFFFFF"/>
              </w:rPr>
              <w:t>doplní Prodávající</w:t>
            </w:r>
          </w:p>
          <w:p w14:paraId="4072F7E7" w14:textId="09413271"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5C8AA52" w14:textId="1CBE018F" w:rsidR="0015795F" w:rsidRDefault="0015795F">
      <w:pPr>
        <w:rPr>
          <w:rFonts w:ascii="Arial" w:hAnsi="Arial" w:cs="Arial"/>
        </w:rPr>
      </w:pPr>
    </w:p>
    <w:p w14:paraId="58947A3B" w14:textId="77777777" w:rsidR="0034465B" w:rsidRDefault="0034465B">
      <w:pPr>
        <w:rPr>
          <w:rFonts w:ascii="Arial" w:hAnsi="Arial" w:cs="Arial"/>
        </w:rPr>
      </w:pPr>
      <w:r>
        <w:rPr>
          <w:rFonts w:ascii="Arial" w:hAnsi="Arial" w:cs="Arial"/>
        </w:rPr>
        <w:br w:type="page"/>
      </w:r>
    </w:p>
    <w:p w14:paraId="0FE52631" w14:textId="0617C2AF"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 xml:space="preserve">Příloha č. </w:t>
      </w:r>
      <w:r w:rsidR="006B103F">
        <w:rPr>
          <w:rFonts w:ascii="Arial" w:hAnsi="Arial" w:cs="Arial"/>
        </w:rPr>
        <w:t>1</w:t>
      </w:r>
    </w:p>
    <w:p w14:paraId="64F6D60D" w14:textId="77777777" w:rsidR="00F80BAD" w:rsidRPr="002542DA" w:rsidRDefault="00F80BAD" w:rsidP="00F80BAD">
      <w:pPr>
        <w:pStyle w:val="Nadpis1"/>
        <w:spacing w:line="276" w:lineRule="auto"/>
        <w:rPr>
          <w:rFonts w:cs="Arial"/>
        </w:rPr>
      </w:pPr>
      <w:bookmarkStart w:id="60"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60"/>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w:t>
      </w:r>
      <w:r w:rsidRPr="002542DA">
        <w:rPr>
          <w:rFonts w:ascii="Arial" w:hAnsi="Arial" w:cs="Arial"/>
          <w:sz w:val="18"/>
        </w:rPr>
        <w:lastRenderedPageBreak/>
        <w:t xml:space="preserve">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 xml:space="preserve">Externí osoby jsou povinny přijmout veškerá opatření k prevenci rizik ve vztahu k vlastním zaměstnancům i cizím zaměstnancům a dalším osobám. Prevencí rizik se rozumí všechna opatření, která vyplývají z právních </w:t>
      </w:r>
      <w:r w:rsidRPr="002542DA">
        <w:rPr>
          <w:rFonts w:ascii="Arial" w:hAnsi="Arial" w:cs="Arial"/>
          <w:b/>
          <w:sz w:val="18"/>
        </w:rPr>
        <w:lastRenderedPageBreak/>
        <w:t>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 xml:space="preserve">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w:t>
      </w:r>
      <w:r w:rsidRPr="002542DA">
        <w:rPr>
          <w:rFonts w:ascii="Arial" w:hAnsi="Arial" w:cs="Arial"/>
          <w:sz w:val="18"/>
        </w:rPr>
        <w:lastRenderedPageBreak/>
        <w:t>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lastRenderedPageBreak/>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lastRenderedPageBreak/>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C11251">
          <w:footerReference w:type="default" r:id="rId10"/>
          <w:footerReference w:type="first" r:id="rId11"/>
          <w:pgSz w:w="11906" w:h="16838"/>
          <w:pgMar w:top="851" w:right="1133" w:bottom="1276" w:left="993" w:header="708" w:footer="1007"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533F4BE4"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 xml:space="preserve">Příloha č. </w:t>
      </w:r>
      <w:r w:rsidR="006B103F">
        <w:rPr>
          <w:rFonts w:ascii="Arial" w:hAnsi="Arial" w:cs="Arial"/>
          <w:bCs/>
          <w:sz w:val="22"/>
          <w:szCs w:val="18"/>
        </w:rPr>
        <w:t>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485F" w14:textId="77777777" w:rsidR="0078102B" w:rsidRDefault="0078102B">
      <w:r>
        <w:separator/>
      </w:r>
    </w:p>
  </w:endnote>
  <w:endnote w:type="continuationSeparator" w:id="0">
    <w:p w14:paraId="409B2770" w14:textId="77777777" w:rsidR="0078102B" w:rsidRDefault="0078102B">
      <w:r>
        <w:continuationSeparator/>
      </w:r>
    </w:p>
  </w:endnote>
  <w:endnote w:type="continuationNotice" w:id="1">
    <w:p w14:paraId="385433D0" w14:textId="77777777" w:rsidR="0078102B" w:rsidRDefault="00781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6002332D" w:rsidR="00F80BAD" w:rsidRDefault="00C11251" w:rsidP="00C11251">
    <w:pPr>
      <w:pStyle w:val="Zpat"/>
      <w:pBdr>
        <w:top w:val="thinThickSmallGap" w:sz="24" w:space="1" w:color="640000"/>
      </w:pBdr>
      <w:jc w:val="right"/>
      <w:rPr>
        <w:sz w:val="16"/>
      </w:rPr>
    </w:pPr>
    <w:r>
      <w:rPr>
        <w:noProof/>
        <w:sz w:val="20"/>
      </w:rPr>
      <w:drawing>
        <wp:anchor distT="0" distB="0" distL="114300" distR="114300" simplePos="0" relativeHeight="251659776" behindDoc="1" locked="0" layoutInCell="1" allowOverlap="1" wp14:anchorId="4F72222F" wp14:editId="46920566">
          <wp:simplePos x="0" y="0"/>
          <wp:positionH relativeFrom="margin">
            <wp:posOffset>26670</wp:posOffset>
          </wp:positionH>
          <wp:positionV relativeFrom="margin">
            <wp:posOffset>9395460</wp:posOffset>
          </wp:positionV>
          <wp:extent cx="796290" cy="309880"/>
          <wp:effectExtent l="19050" t="19050" r="22860" b="13970"/>
          <wp:wrapNone/>
          <wp:docPr id="16" name="Obrázek 16"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80BAD">
      <w:rPr>
        <w:sz w:val="16"/>
      </w:rPr>
      <w:t xml:space="preserve">Strana </w:t>
    </w:r>
    <w:r w:rsidR="00F80BAD">
      <w:rPr>
        <w:rStyle w:val="slostrnky"/>
      </w:rPr>
      <w:fldChar w:fldCharType="begin"/>
    </w:r>
    <w:r w:rsidR="00F80BAD">
      <w:rPr>
        <w:rStyle w:val="slostrnky"/>
      </w:rPr>
      <w:instrText xml:space="preserve"> PAGE </w:instrText>
    </w:r>
    <w:r w:rsidR="00F80BAD">
      <w:rPr>
        <w:rStyle w:val="slostrnky"/>
      </w:rPr>
      <w:fldChar w:fldCharType="separate"/>
    </w:r>
    <w:r w:rsidR="00F80BAD">
      <w:rPr>
        <w:rStyle w:val="slostrnky"/>
        <w:noProof/>
      </w:rPr>
      <w:t>1</w:t>
    </w:r>
    <w:r w:rsidR="00F80BAD">
      <w:rPr>
        <w:rStyle w:val="slostrnky"/>
      </w:rPr>
      <w:fldChar w:fldCharType="end"/>
    </w:r>
    <w:r w:rsidR="00F80BAD">
      <w:rPr>
        <w:rStyle w:val="slostrnky"/>
      </w:rPr>
      <w:t>/</w:t>
    </w:r>
    <w:r w:rsidR="00F80BAD">
      <w:rPr>
        <w:rStyle w:val="slostrnky"/>
      </w:rPr>
      <w:fldChar w:fldCharType="begin"/>
    </w:r>
    <w:r w:rsidR="00F80BAD">
      <w:rPr>
        <w:rStyle w:val="slostrnky"/>
      </w:rPr>
      <w:instrText xml:space="preserve"> NUMPAGES </w:instrText>
    </w:r>
    <w:r w:rsidR="00F80BAD">
      <w:rPr>
        <w:rStyle w:val="slostrnky"/>
      </w:rPr>
      <w:fldChar w:fldCharType="separate"/>
    </w:r>
    <w:r w:rsidR="00F80BAD">
      <w:rPr>
        <w:rStyle w:val="slostrnky"/>
        <w:noProof/>
      </w:rPr>
      <w:t>6</w:t>
    </w:r>
    <w:r w:rsidR="00F80BAD">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E8DD3" w14:textId="77777777" w:rsidR="0078102B" w:rsidRDefault="0078102B">
      <w:r>
        <w:separator/>
      </w:r>
    </w:p>
  </w:footnote>
  <w:footnote w:type="continuationSeparator" w:id="0">
    <w:p w14:paraId="612129F1" w14:textId="77777777" w:rsidR="0078102B" w:rsidRDefault="0078102B">
      <w:r>
        <w:continuationSeparator/>
      </w:r>
    </w:p>
  </w:footnote>
  <w:footnote w:type="continuationNotice" w:id="1">
    <w:p w14:paraId="1792A658" w14:textId="77777777" w:rsidR="0078102B" w:rsidRDefault="007810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7D5B74"/>
    <w:multiLevelType w:val="hybridMultilevel"/>
    <w:tmpl w:val="D130C1D6"/>
    <w:lvl w:ilvl="0" w:tplc="E0D28008">
      <w:start w:val="1"/>
      <w:numFmt w:val="decimal"/>
      <w:lvlText w:val="9.%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9"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2" w15:restartNumberingAfterBreak="0">
    <w:nsid w:val="1F024AEA"/>
    <w:multiLevelType w:val="multilevel"/>
    <w:tmpl w:val="34029866"/>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303680B"/>
    <w:multiLevelType w:val="hybridMultilevel"/>
    <w:tmpl w:val="58A8BB96"/>
    <w:lvl w:ilvl="0" w:tplc="CCCEA96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36617CA"/>
    <w:multiLevelType w:val="hybridMultilevel"/>
    <w:tmpl w:val="D6144DC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53574FC"/>
    <w:multiLevelType w:val="hybridMultilevel"/>
    <w:tmpl w:val="9C0CE34E"/>
    <w:lvl w:ilvl="0" w:tplc="2CB44E70">
      <w:start w:val="1"/>
      <w:numFmt w:val="bullet"/>
      <w:lvlText w:val="-"/>
      <w:lvlJc w:val="left"/>
      <w:pPr>
        <w:ind w:left="927" w:hanging="360"/>
      </w:pPr>
      <w:rPr>
        <w:rFonts w:ascii="Calibri" w:eastAsia="Times New Roman" w:hAnsi="Calibri" w:cs="Calibri"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9"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2"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FE510E"/>
    <w:multiLevelType w:val="hybridMultilevel"/>
    <w:tmpl w:val="158E2F54"/>
    <w:lvl w:ilvl="0" w:tplc="32E6004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697A2ACE"/>
    <w:multiLevelType w:val="hybridMultilevel"/>
    <w:tmpl w:val="8B0CC408"/>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2881AE5"/>
    <w:multiLevelType w:val="hybridMultilevel"/>
    <w:tmpl w:val="D7A8DBD2"/>
    <w:lvl w:ilvl="0" w:tplc="2B28E0DC">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B7876B8"/>
    <w:multiLevelType w:val="multilevel"/>
    <w:tmpl w:val="13F2A1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0141826">
    <w:abstractNumId w:val="17"/>
  </w:num>
  <w:num w:numId="2" w16cid:durableId="810947846">
    <w:abstractNumId w:val="34"/>
  </w:num>
  <w:num w:numId="3" w16cid:durableId="1061708737">
    <w:abstractNumId w:val="13"/>
  </w:num>
  <w:num w:numId="4" w16cid:durableId="1588419099">
    <w:abstractNumId w:val="32"/>
  </w:num>
  <w:num w:numId="5" w16cid:durableId="262418684">
    <w:abstractNumId w:val="16"/>
  </w:num>
  <w:num w:numId="6" w16cid:durableId="1606499268">
    <w:abstractNumId w:val="23"/>
  </w:num>
  <w:num w:numId="7" w16cid:durableId="533734200">
    <w:abstractNumId w:val="6"/>
  </w:num>
  <w:num w:numId="8" w16cid:durableId="538591465">
    <w:abstractNumId w:val="22"/>
  </w:num>
  <w:num w:numId="9" w16cid:durableId="2026321924">
    <w:abstractNumId w:val="10"/>
  </w:num>
  <w:num w:numId="10" w16cid:durableId="1591767188">
    <w:abstractNumId w:val="7"/>
  </w:num>
  <w:num w:numId="11" w16cid:durableId="1504659876">
    <w:abstractNumId w:val="11"/>
  </w:num>
  <w:num w:numId="12" w16cid:durableId="1336761508">
    <w:abstractNumId w:val="27"/>
  </w:num>
  <w:num w:numId="13" w16cid:durableId="1635914709">
    <w:abstractNumId w:val="8"/>
  </w:num>
  <w:num w:numId="14" w16cid:durableId="1232620272">
    <w:abstractNumId w:val="19"/>
  </w:num>
  <w:num w:numId="15" w16cid:durableId="1818647400">
    <w:abstractNumId w:val="20"/>
  </w:num>
  <w:num w:numId="16" w16cid:durableId="1180317241">
    <w:abstractNumId w:val="12"/>
  </w:num>
  <w:num w:numId="17" w16cid:durableId="788281293">
    <w:abstractNumId w:val="21"/>
  </w:num>
  <w:num w:numId="18" w16cid:durableId="794982901">
    <w:abstractNumId w:val="24"/>
  </w:num>
  <w:num w:numId="19" w16cid:durableId="990258533">
    <w:abstractNumId w:val="28"/>
  </w:num>
  <w:num w:numId="20" w16cid:durableId="1666979894">
    <w:abstractNumId w:val="29"/>
  </w:num>
  <w:num w:numId="21" w16cid:durableId="2134320471">
    <w:abstractNumId w:val="15"/>
  </w:num>
  <w:num w:numId="22" w16cid:durableId="1740789670">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308941308">
    <w:abstractNumId w:val="31"/>
  </w:num>
  <w:num w:numId="24" w16cid:durableId="461776506">
    <w:abstractNumId w:val="37"/>
  </w:num>
  <w:num w:numId="25" w16cid:durableId="660891072">
    <w:abstractNumId w:val="9"/>
  </w:num>
  <w:num w:numId="26" w16cid:durableId="1220241404">
    <w:abstractNumId w:val="3"/>
  </w:num>
  <w:num w:numId="27" w16cid:durableId="1985817409">
    <w:abstractNumId w:val="35"/>
  </w:num>
  <w:num w:numId="28" w16cid:durableId="960844215">
    <w:abstractNumId w:val="30"/>
  </w:num>
  <w:num w:numId="29" w16cid:durableId="2000574494">
    <w:abstractNumId w:val="38"/>
  </w:num>
  <w:num w:numId="30" w16cid:durableId="560676091">
    <w:abstractNumId w:val="2"/>
  </w:num>
  <w:num w:numId="31" w16cid:durableId="1370762163">
    <w:abstractNumId w:val="26"/>
  </w:num>
  <w:num w:numId="32" w16cid:durableId="14140070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5430992">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574551">
    <w:abstractNumId w:val="4"/>
  </w:num>
  <w:num w:numId="35" w16cid:durableId="1702245148">
    <w:abstractNumId w:val="36"/>
  </w:num>
  <w:num w:numId="36" w16cid:durableId="1169636529">
    <w:abstractNumId w:val="14"/>
  </w:num>
  <w:num w:numId="37" w16cid:durableId="998460861">
    <w:abstractNumId w:val="5"/>
  </w:num>
  <w:num w:numId="38" w16cid:durableId="386681477">
    <w:abstractNumId w:val="33"/>
  </w:num>
  <w:num w:numId="39" w16cid:durableId="164757537">
    <w:abstractNumId w:val="18"/>
  </w:num>
  <w:num w:numId="40" w16cid:durableId="2075424612">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783"/>
    <w:rsid w:val="00045AFF"/>
    <w:rsid w:val="00045E20"/>
    <w:rsid w:val="00047DD0"/>
    <w:rsid w:val="00050318"/>
    <w:rsid w:val="000535CF"/>
    <w:rsid w:val="0005382A"/>
    <w:rsid w:val="0005470C"/>
    <w:rsid w:val="000562C9"/>
    <w:rsid w:val="00057C8B"/>
    <w:rsid w:val="00060378"/>
    <w:rsid w:val="000621F6"/>
    <w:rsid w:val="00062E17"/>
    <w:rsid w:val="00063BA2"/>
    <w:rsid w:val="00063EB4"/>
    <w:rsid w:val="000640C5"/>
    <w:rsid w:val="0006456A"/>
    <w:rsid w:val="00064934"/>
    <w:rsid w:val="000649E1"/>
    <w:rsid w:val="00065483"/>
    <w:rsid w:val="00066680"/>
    <w:rsid w:val="00066B10"/>
    <w:rsid w:val="0006751F"/>
    <w:rsid w:val="0007173E"/>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874"/>
    <w:rsid w:val="000C3702"/>
    <w:rsid w:val="000C3B38"/>
    <w:rsid w:val="000C3D7E"/>
    <w:rsid w:val="000C4C4A"/>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6FFC"/>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5795F"/>
    <w:rsid w:val="001616E4"/>
    <w:rsid w:val="00164F6B"/>
    <w:rsid w:val="00165AA6"/>
    <w:rsid w:val="00170677"/>
    <w:rsid w:val="00171B17"/>
    <w:rsid w:val="00173477"/>
    <w:rsid w:val="00174E2D"/>
    <w:rsid w:val="001764FC"/>
    <w:rsid w:val="001769E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462F"/>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74579"/>
    <w:rsid w:val="00280669"/>
    <w:rsid w:val="002825AF"/>
    <w:rsid w:val="0028482A"/>
    <w:rsid w:val="0028613E"/>
    <w:rsid w:val="002861B0"/>
    <w:rsid w:val="00286488"/>
    <w:rsid w:val="002866DC"/>
    <w:rsid w:val="00286E0B"/>
    <w:rsid w:val="00287AF6"/>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5CE6"/>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5B"/>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57357"/>
    <w:rsid w:val="00461C53"/>
    <w:rsid w:val="00462C0D"/>
    <w:rsid w:val="00463172"/>
    <w:rsid w:val="004638B6"/>
    <w:rsid w:val="004647B5"/>
    <w:rsid w:val="00466EB5"/>
    <w:rsid w:val="00467065"/>
    <w:rsid w:val="004705CC"/>
    <w:rsid w:val="00470A4F"/>
    <w:rsid w:val="00470A88"/>
    <w:rsid w:val="00470B65"/>
    <w:rsid w:val="00470F11"/>
    <w:rsid w:val="00476184"/>
    <w:rsid w:val="004766FE"/>
    <w:rsid w:val="00477EC0"/>
    <w:rsid w:val="00477FC8"/>
    <w:rsid w:val="00480151"/>
    <w:rsid w:val="00481843"/>
    <w:rsid w:val="00483B53"/>
    <w:rsid w:val="0048454F"/>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6659"/>
    <w:rsid w:val="004E0456"/>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6F9B"/>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2240"/>
    <w:rsid w:val="005F30AB"/>
    <w:rsid w:val="005F551D"/>
    <w:rsid w:val="005F5BDB"/>
    <w:rsid w:val="00600C3A"/>
    <w:rsid w:val="00602941"/>
    <w:rsid w:val="00602D12"/>
    <w:rsid w:val="00603516"/>
    <w:rsid w:val="0060403C"/>
    <w:rsid w:val="00604C94"/>
    <w:rsid w:val="006059FB"/>
    <w:rsid w:val="00605BDB"/>
    <w:rsid w:val="006062EA"/>
    <w:rsid w:val="00610159"/>
    <w:rsid w:val="006101F0"/>
    <w:rsid w:val="006103DC"/>
    <w:rsid w:val="006113A1"/>
    <w:rsid w:val="006119B7"/>
    <w:rsid w:val="0061206B"/>
    <w:rsid w:val="0061365C"/>
    <w:rsid w:val="006137EA"/>
    <w:rsid w:val="00613E06"/>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103F"/>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442"/>
    <w:rsid w:val="00710806"/>
    <w:rsid w:val="00711501"/>
    <w:rsid w:val="007126EB"/>
    <w:rsid w:val="0071320C"/>
    <w:rsid w:val="00713A43"/>
    <w:rsid w:val="00714CB5"/>
    <w:rsid w:val="00715266"/>
    <w:rsid w:val="00715DFE"/>
    <w:rsid w:val="00715EF1"/>
    <w:rsid w:val="00716E65"/>
    <w:rsid w:val="00721023"/>
    <w:rsid w:val="00721742"/>
    <w:rsid w:val="007240CA"/>
    <w:rsid w:val="0072707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02B"/>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C0"/>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42A9"/>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0155"/>
    <w:rsid w:val="009527A6"/>
    <w:rsid w:val="0095350C"/>
    <w:rsid w:val="00956DFB"/>
    <w:rsid w:val="00957079"/>
    <w:rsid w:val="0095743A"/>
    <w:rsid w:val="009575CB"/>
    <w:rsid w:val="00957FBE"/>
    <w:rsid w:val="009608BF"/>
    <w:rsid w:val="00963722"/>
    <w:rsid w:val="00965DD5"/>
    <w:rsid w:val="00966ED3"/>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0CA5"/>
    <w:rsid w:val="00A11CE6"/>
    <w:rsid w:val="00A137C5"/>
    <w:rsid w:val="00A14D2C"/>
    <w:rsid w:val="00A1555B"/>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4138"/>
    <w:rsid w:val="00A55A2D"/>
    <w:rsid w:val="00A57F9C"/>
    <w:rsid w:val="00A600F1"/>
    <w:rsid w:val="00A61619"/>
    <w:rsid w:val="00A61671"/>
    <w:rsid w:val="00A62C8F"/>
    <w:rsid w:val="00A63AED"/>
    <w:rsid w:val="00A654A9"/>
    <w:rsid w:val="00A74374"/>
    <w:rsid w:val="00A746D2"/>
    <w:rsid w:val="00A76FBC"/>
    <w:rsid w:val="00A802BB"/>
    <w:rsid w:val="00A85A14"/>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636"/>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7673"/>
    <w:rsid w:val="00B900DC"/>
    <w:rsid w:val="00B90D0E"/>
    <w:rsid w:val="00B946BB"/>
    <w:rsid w:val="00B95D32"/>
    <w:rsid w:val="00B96B96"/>
    <w:rsid w:val="00B970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0801"/>
    <w:rsid w:val="00BD1314"/>
    <w:rsid w:val="00BD2050"/>
    <w:rsid w:val="00BD29F3"/>
    <w:rsid w:val="00BE1721"/>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251"/>
    <w:rsid w:val="00C11736"/>
    <w:rsid w:val="00C14E3C"/>
    <w:rsid w:val="00C14FE1"/>
    <w:rsid w:val="00C176CD"/>
    <w:rsid w:val="00C22E50"/>
    <w:rsid w:val="00C249E3"/>
    <w:rsid w:val="00C2521D"/>
    <w:rsid w:val="00C26A9F"/>
    <w:rsid w:val="00C26AD7"/>
    <w:rsid w:val="00C276BB"/>
    <w:rsid w:val="00C27D79"/>
    <w:rsid w:val="00C314EA"/>
    <w:rsid w:val="00C319A9"/>
    <w:rsid w:val="00C34798"/>
    <w:rsid w:val="00C36C78"/>
    <w:rsid w:val="00C36C90"/>
    <w:rsid w:val="00C4025A"/>
    <w:rsid w:val="00C408E6"/>
    <w:rsid w:val="00C40B66"/>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67B"/>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4873"/>
    <w:rsid w:val="00CF5761"/>
    <w:rsid w:val="00CF5B2E"/>
    <w:rsid w:val="00CF69A0"/>
    <w:rsid w:val="00D01A62"/>
    <w:rsid w:val="00D02808"/>
    <w:rsid w:val="00D03881"/>
    <w:rsid w:val="00D04907"/>
    <w:rsid w:val="00D04AD7"/>
    <w:rsid w:val="00D06113"/>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5D32"/>
    <w:rsid w:val="00D877B5"/>
    <w:rsid w:val="00D9299C"/>
    <w:rsid w:val="00D933DC"/>
    <w:rsid w:val="00D94E89"/>
    <w:rsid w:val="00D95E63"/>
    <w:rsid w:val="00DA0871"/>
    <w:rsid w:val="00DA113A"/>
    <w:rsid w:val="00DA1DB5"/>
    <w:rsid w:val="00DA1E5B"/>
    <w:rsid w:val="00DA256F"/>
    <w:rsid w:val="00DB2370"/>
    <w:rsid w:val="00DB349C"/>
    <w:rsid w:val="00DB45C8"/>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6EEA"/>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6640"/>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37CB"/>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12570</Words>
  <Characters>75242</Characters>
  <Application>Microsoft Office Word</Application>
  <DocSecurity>0</DocSecurity>
  <Lines>627</Lines>
  <Paragraphs>175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2</cp:revision>
  <cp:lastPrinted>2021-06-17T08:26:00Z</cp:lastPrinted>
  <dcterms:created xsi:type="dcterms:W3CDTF">2022-07-14T11:32:00Z</dcterms:created>
  <dcterms:modified xsi:type="dcterms:W3CDTF">2022-07-14T11:32:00Z</dcterms:modified>
</cp:coreProperties>
</file>