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9FAF5F4" w:rsidR="008F44E2" w:rsidRDefault="0001304A">
      <w:pPr>
        <w:pStyle w:val="Zkladntext3"/>
        <w:rPr>
          <w:rFonts w:cs="Arial"/>
          <w:noProof w:val="0"/>
          <w:color w:val="auto"/>
          <w:sz w:val="30"/>
          <w:szCs w:val="30"/>
        </w:rPr>
      </w:pPr>
      <w:r>
        <w:rPr>
          <w:rFonts w:cs="Arial"/>
          <w:noProof w:val="0"/>
          <w:color w:val="auto"/>
          <w:sz w:val="30"/>
          <w:szCs w:val="30"/>
        </w:rPr>
        <w:t>PL</w:t>
      </w:r>
      <w:r w:rsidR="00B748DE" w:rsidRPr="00B748DE">
        <w:rPr>
          <w:rFonts w:cs="Arial"/>
          <w:noProof w:val="0"/>
          <w:color w:val="auto"/>
          <w:sz w:val="30"/>
          <w:szCs w:val="30"/>
        </w:rPr>
        <w:t xml:space="preserve"> DNS </w:t>
      </w:r>
      <w:r w:rsidR="002C7434">
        <w:rPr>
          <w:rFonts w:cs="Arial"/>
          <w:noProof w:val="0"/>
          <w:color w:val="auto"/>
          <w:sz w:val="30"/>
          <w:szCs w:val="30"/>
        </w:rPr>
        <w:t>7</w:t>
      </w:r>
      <w:r w:rsidR="00B748DE" w:rsidRPr="00B748DE">
        <w:rPr>
          <w:rFonts w:cs="Arial"/>
          <w:noProof w:val="0"/>
          <w:color w:val="auto"/>
          <w:sz w:val="30"/>
          <w:szCs w:val="30"/>
        </w:rPr>
        <w:t>/20</w:t>
      </w:r>
      <w:r w:rsidR="00E412EF">
        <w:rPr>
          <w:rFonts w:cs="Arial"/>
          <w:noProof w:val="0"/>
          <w:color w:val="auto"/>
          <w:sz w:val="30"/>
          <w:szCs w:val="30"/>
        </w:rPr>
        <w:t>20</w:t>
      </w:r>
    </w:p>
    <w:p w14:paraId="5ECC3C08" w14:textId="77777777" w:rsidR="00657FA8" w:rsidRPr="00C429C0" w:rsidRDefault="00657FA8">
      <w:pPr>
        <w:pStyle w:val="Zkladntext3"/>
        <w:rPr>
          <w:rFonts w:cs="Arial"/>
          <w:noProof w:val="0"/>
          <w:color w:val="auto"/>
          <w:sz w:val="30"/>
          <w:szCs w:val="30"/>
        </w:rPr>
      </w:pPr>
    </w:p>
    <w:p w14:paraId="0F7279D9" w14:textId="289812D8" w:rsidR="00F57F94" w:rsidRDefault="002C7434">
      <w:pPr>
        <w:pStyle w:val="Zkladntext3"/>
        <w:rPr>
          <w:b/>
          <w:color w:val="000000" w:themeColor="text1"/>
          <w:sz w:val="28"/>
          <w:szCs w:val="28"/>
        </w:rPr>
      </w:pPr>
      <w:r>
        <w:rPr>
          <w:b/>
          <w:color w:val="000000" w:themeColor="text1"/>
          <w:sz w:val="28"/>
          <w:szCs w:val="28"/>
        </w:rPr>
        <w:t>Čistenie a nátery trakčných stožiarov</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01304A">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01304A">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01304A">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01304A">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01304A">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01304A">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01304A">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01304A">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01304A">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01304A">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01304A">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01304A">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01304A">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01304A">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01304A">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01304A">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01304A">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01304A">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01304A">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01304A">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01304A">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01304A">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01304A">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01304A">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01304A">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01304A">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01304A">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01304A">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01304A">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01304A">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01304A">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01304A">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01304A">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01304A">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01304A">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01304A">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01304A">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01304A">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01304A">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01304A">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01304A">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01304A">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01304A">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65B02560"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CB58E7">
        <w:rPr>
          <w:b/>
        </w:rPr>
        <w:t>Čistenie a nátery trakčných stožiarov</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24E53FA3" w14:textId="77777777" w:rsidR="00CB58E7" w:rsidRDefault="00CB58E7" w:rsidP="00CB58E7">
      <w:pPr>
        <w:spacing w:line="276" w:lineRule="auto"/>
        <w:ind w:left="284"/>
        <w:jc w:val="both"/>
        <w:rPr>
          <w:bCs/>
          <w:sz w:val="22"/>
          <w:szCs w:val="22"/>
        </w:rPr>
      </w:pPr>
      <w:r>
        <w:rPr>
          <w:bCs/>
          <w:sz w:val="22"/>
          <w:szCs w:val="22"/>
        </w:rPr>
        <w:t>45442190-5 Odstraňovanie náterov</w:t>
      </w:r>
      <w:r w:rsidR="00502670" w:rsidRPr="00502670">
        <w:rPr>
          <w:bCs/>
          <w:sz w:val="22"/>
          <w:szCs w:val="22"/>
        </w:rPr>
        <w:t>;</w:t>
      </w:r>
    </w:p>
    <w:p w14:paraId="09AEC0A2" w14:textId="5E15784A" w:rsidR="00502670" w:rsidRDefault="00A234EB" w:rsidP="00CB58E7">
      <w:pPr>
        <w:spacing w:line="276" w:lineRule="auto"/>
        <w:ind w:left="284"/>
        <w:jc w:val="both"/>
        <w:rPr>
          <w:bCs/>
          <w:sz w:val="22"/>
          <w:szCs w:val="22"/>
        </w:rPr>
      </w:pPr>
      <w:r>
        <w:rPr>
          <w:bCs/>
          <w:sz w:val="22"/>
          <w:szCs w:val="22"/>
        </w:rPr>
        <w:t>45442180-2 Opakované natieranie a maľovanie</w:t>
      </w:r>
      <w:r w:rsidR="00502670" w:rsidRPr="00502670">
        <w:rPr>
          <w:bCs/>
          <w:sz w:val="22"/>
          <w:szCs w:val="22"/>
        </w:rPr>
        <w:t xml:space="preserve"> </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4781E70" w:rsidR="00B204E1" w:rsidRPr="00A5375E" w:rsidRDefault="00A234EB" w:rsidP="00502670">
      <w:pPr>
        <w:spacing w:line="276" w:lineRule="auto"/>
        <w:ind w:left="426" w:hanging="66"/>
        <w:jc w:val="both"/>
        <w:rPr>
          <w:rFonts w:cs="Arial"/>
          <w:sz w:val="22"/>
          <w:szCs w:val="22"/>
        </w:rPr>
      </w:pPr>
      <w:r>
        <w:rPr>
          <w:sz w:val="22"/>
          <w:szCs w:val="22"/>
        </w:rPr>
        <w:t>Bratislava, uličné pásy ET a TT</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07A749E"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výzivev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364B8D33"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1 000 000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04A"/>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7437</Words>
  <Characters>52247</Characters>
  <Application>Microsoft Office Word</Application>
  <DocSecurity>0</DocSecurity>
  <Lines>435</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59565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11</cp:revision>
  <cp:lastPrinted>2019-10-15T09:59:00Z</cp:lastPrinted>
  <dcterms:created xsi:type="dcterms:W3CDTF">2022-04-20T08:43:00Z</dcterms:created>
  <dcterms:modified xsi:type="dcterms:W3CDTF">2022-04-26T11:26:00Z</dcterms:modified>
</cp:coreProperties>
</file>