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F358709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916DF7" w:rsidRPr="00916DF7">
        <w:rPr>
          <w:rFonts w:ascii="Cambria" w:hAnsi="Cambria" w:cs="Arial"/>
          <w:b/>
          <w:bCs/>
          <w:sz w:val="22"/>
          <w:szCs w:val="22"/>
        </w:rPr>
        <w:t>Wymiana bramy i ogrodzenia IX kwatery Szkółki Doręgowice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1E5D5E5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 xml:space="preserve">amówienia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>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równowartości w złotych 43 milionów euro i nie jest ani mikroprzedsiębiorcą ani małym przedsiębiorcą. </w:t>
      </w:r>
      <w:bookmarkStart w:id="0" w:name="_GoBack"/>
      <w:bookmarkEnd w:id="0"/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4DA5C2B8" w14:textId="77777777" w:rsidR="00916DF7" w:rsidRPr="003144B1" w:rsidRDefault="00916DF7" w:rsidP="00916DF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End w:id="1"/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3"/>
    <w:p w14:paraId="4FD21D2D" w14:textId="77777777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EF033" w14:textId="77777777" w:rsidR="009004B1" w:rsidRDefault="009004B1">
      <w:r>
        <w:separator/>
      </w:r>
    </w:p>
  </w:endnote>
  <w:endnote w:type="continuationSeparator" w:id="0">
    <w:p w14:paraId="6623D423" w14:textId="77777777" w:rsidR="009004B1" w:rsidRDefault="0090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B27F60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B27F6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AE214" w14:textId="77777777" w:rsidR="009004B1" w:rsidRDefault="009004B1">
      <w:r>
        <w:separator/>
      </w:r>
    </w:p>
  </w:footnote>
  <w:footnote w:type="continuationSeparator" w:id="0">
    <w:p w14:paraId="39D67960" w14:textId="77777777" w:rsidR="009004B1" w:rsidRDefault="009004B1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299CC-EBF5-47D7-9F72-F217BB29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2</cp:revision>
  <cp:lastPrinted>2021-05-19T08:17:00Z</cp:lastPrinted>
  <dcterms:created xsi:type="dcterms:W3CDTF">2022-06-09T06:05:00Z</dcterms:created>
  <dcterms:modified xsi:type="dcterms:W3CDTF">2022-06-09T06:05:00Z</dcterms:modified>
</cp:coreProperties>
</file>