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w:t>
      </w:r>
      <w:proofErr w:type="gramStart"/>
      <w:r w:rsidRPr="00C15C32">
        <w:rPr>
          <w:rFonts w:ascii="Arial" w:hAnsi="Arial"/>
          <w:snapToGrid w:val="0"/>
          <w:lang w:eastAsia="cs-CZ"/>
        </w:rPr>
        <w:t xml:space="preserve">délce </w:t>
      </w:r>
      <w:r w:rsidR="00394DF5">
        <w:rPr>
          <w:rFonts w:ascii="Arial" w:hAnsi="Arial"/>
          <w:snapToGrid w:val="0"/>
          <w:lang w:eastAsia="cs-CZ"/>
        </w:rPr>
        <w:t xml:space="preserve"> 60</w:t>
      </w:r>
      <w:proofErr w:type="gramEnd"/>
      <w:r w:rsidR="00394DF5">
        <w:rPr>
          <w:rFonts w:ascii="Arial" w:hAnsi="Arial"/>
          <w:snapToGrid w:val="0"/>
          <w:lang w:eastAsia="cs-CZ"/>
        </w:rPr>
        <w:t xml:space="preserve">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proofErr w:type="gramStart"/>
      <w:r w:rsidR="00914391">
        <w:rPr>
          <w:rFonts w:ascii="Arial" w:hAnsi="Arial" w:cs="Arial"/>
          <w:lang w:eastAsia="cs-CZ"/>
        </w:rPr>
        <w:t>…….</w:t>
      </w:r>
      <w:proofErr w:type="gramEnd"/>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sidR="00914391">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412B45CB" w:rsidR="00394DF5" w:rsidRPr="00E664F5" w:rsidRDefault="00394DF5" w:rsidP="00005C27">
    <w:pPr>
      <w:pStyle w:val="Zpat"/>
      <w:rPr>
        <w:rFonts w:ascii="Arial" w:eastAsia="Calibri" w:hAnsi="Arial" w:cs="Arial"/>
        <w:i/>
        <w:iCs/>
        <w:sz w:val="20"/>
        <w:lang w:eastAsia="cs-CZ"/>
      </w:rPr>
    </w:pPr>
    <w:r w:rsidRPr="00394DF5">
      <w:rPr>
        <w:i/>
        <w:iCs/>
      </w:rPr>
      <w:t>„</w:t>
    </w:r>
    <w:r w:rsidR="000358EF" w:rsidRPr="000358EF">
      <w:rPr>
        <w:rFonts w:ascii="Arial" w:eastAsia="Calibri" w:hAnsi="Arial" w:cs="Arial"/>
        <w:i/>
        <w:iCs/>
        <w:sz w:val="20"/>
        <w:lang w:eastAsia="cs-CZ"/>
      </w:rPr>
      <w:t>Oprava chodníku Nádražní 52, 54 ve Šternberk</w:t>
    </w:r>
    <w:r w:rsidR="000358EF">
      <w:rPr>
        <w:rFonts w:ascii="Arial" w:eastAsia="Calibri" w:hAnsi="Arial" w:cs="Arial"/>
        <w:i/>
        <w:iCs/>
        <w:sz w:val="20"/>
        <w:lang w:eastAsia="cs-CZ"/>
      </w:rPr>
      <w:t>u</w:t>
    </w:r>
    <w:r w:rsidRPr="00394DF5">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792330704">
    <w:abstractNumId w:val="0"/>
  </w:num>
  <w:num w:numId="2" w16cid:durableId="149754384">
    <w:abstractNumId w:val="5"/>
  </w:num>
  <w:num w:numId="3" w16cid:durableId="259997419">
    <w:abstractNumId w:val="11"/>
  </w:num>
  <w:num w:numId="4" w16cid:durableId="1082678081">
    <w:abstractNumId w:val="12"/>
  </w:num>
  <w:num w:numId="5" w16cid:durableId="1026055111">
    <w:abstractNumId w:val="9"/>
  </w:num>
  <w:num w:numId="6" w16cid:durableId="1997302839">
    <w:abstractNumId w:val="13"/>
  </w:num>
  <w:num w:numId="7" w16cid:durableId="2146846119">
    <w:abstractNumId w:val="10"/>
  </w:num>
  <w:num w:numId="8" w16cid:durableId="189962881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005C27"/>
    <w:rsid w:val="000358EF"/>
    <w:rsid w:val="00180492"/>
    <w:rsid w:val="00181637"/>
    <w:rsid w:val="001A5821"/>
    <w:rsid w:val="001F1EC7"/>
    <w:rsid w:val="002029E1"/>
    <w:rsid w:val="002069DD"/>
    <w:rsid w:val="002527FB"/>
    <w:rsid w:val="002C1E42"/>
    <w:rsid w:val="002F0358"/>
    <w:rsid w:val="002F1908"/>
    <w:rsid w:val="002F7CE2"/>
    <w:rsid w:val="00326C9E"/>
    <w:rsid w:val="00394DF5"/>
    <w:rsid w:val="00422830"/>
    <w:rsid w:val="004952A3"/>
    <w:rsid w:val="004B57A6"/>
    <w:rsid w:val="005135A7"/>
    <w:rsid w:val="00567B94"/>
    <w:rsid w:val="00582D77"/>
    <w:rsid w:val="00596B78"/>
    <w:rsid w:val="0059702B"/>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43A7B"/>
    <w:rsid w:val="00B535EB"/>
    <w:rsid w:val="00B726F4"/>
    <w:rsid w:val="00B74A05"/>
    <w:rsid w:val="00B9023F"/>
    <w:rsid w:val="00B91C0D"/>
    <w:rsid w:val="00BA7F90"/>
    <w:rsid w:val="00BE64DD"/>
    <w:rsid w:val="00BE69E7"/>
    <w:rsid w:val="00BF794C"/>
    <w:rsid w:val="00C63940"/>
    <w:rsid w:val="00D13839"/>
    <w:rsid w:val="00D213CB"/>
    <w:rsid w:val="00D336D9"/>
    <w:rsid w:val="00D44AA9"/>
    <w:rsid w:val="00DB5E82"/>
    <w:rsid w:val="00E15EB6"/>
    <w:rsid w:val="00E664F5"/>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12</cp:revision>
  <cp:lastPrinted>2019-06-27T05:25:00Z</cp:lastPrinted>
  <dcterms:created xsi:type="dcterms:W3CDTF">2021-04-27T12:24:00Z</dcterms:created>
  <dcterms:modified xsi:type="dcterms:W3CDTF">2022-06-06T13:07:00Z</dcterms:modified>
</cp:coreProperties>
</file>