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23EBEEB2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  <w:r w:rsidRPr="00030F31">
        <w:rPr>
          <w:rFonts w:ascii="Garamond" w:hAnsi="Garamond"/>
          <w:color w:val="auto"/>
          <w:sz w:val="20"/>
          <w:szCs w:val="20"/>
        </w:rPr>
        <w:t xml:space="preserve">Príloha č. </w:t>
      </w:r>
      <w:r w:rsidR="00D7506D">
        <w:rPr>
          <w:rFonts w:ascii="Garamond" w:hAnsi="Garamond"/>
          <w:color w:val="auto"/>
          <w:sz w:val="20"/>
          <w:szCs w:val="20"/>
        </w:rPr>
        <w:t>2</w:t>
      </w:r>
      <w:r w:rsidRPr="00030F31">
        <w:rPr>
          <w:rFonts w:ascii="Garamond" w:hAnsi="Garamond"/>
          <w:color w:val="auto"/>
          <w:sz w:val="20"/>
          <w:szCs w:val="20"/>
        </w:rPr>
        <w:t xml:space="preserve"> súťažných podkladov</w:t>
      </w: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457A6C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</w:rPr>
      </w:pPr>
      <w:r w:rsidRPr="00457A6C">
        <w:rPr>
          <w:rFonts w:ascii="Garamond" w:hAnsi="Garamond" w:cs="Arial"/>
          <w:b/>
          <w:bCs/>
        </w:rPr>
        <w:t xml:space="preserve">PRAVIDLÁ   UPLATŇOVANIA   KRITÉRIA  NA VYHODNOTENIE PONÚK </w:t>
      </w:r>
    </w:p>
    <w:p w14:paraId="03EF801E" w14:textId="77777777" w:rsidR="006E7686" w:rsidRPr="00457A6C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457A6C">
        <w:rPr>
          <w:rFonts w:ascii="Garamond" w:eastAsia="Arial Narrow" w:hAnsi="Garamond" w:cs="Arial Narrow"/>
          <w:b/>
          <w:bCs/>
        </w:rPr>
        <w:tab/>
      </w:r>
      <w:r w:rsidRPr="00457A6C">
        <w:rPr>
          <w:rFonts w:ascii="Garamond" w:eastAsia="Arial Narrow" w:hAnsi="Garamond" w:cs="Arial Narrow"/>
          <w:b/>
          <w:bCs/>
        </w:rPr>
        <w:tab/>
      </w:r>
      <w:r w:rsidRPr="00457A6C">
        <w:rPr>
          <w:rFonts w:ascii="Garamond" w:eastAsia="Arial Narrow" w:hAnsi="Garamond" w:cs="Arial Narrow"/>
          <w:b/>
          <w:bCs/>
        </w:rPr>
        <w:tab/>
      </w:r>
      <w:r w:rsidRPr="00457A6C">
        <w:rPr>
          <w:rFonts w:ascii="Garamond" w:eastAsia="Arial Narrow" w:hAnsi="Garamond" w:cs="Arial Narrow"/>
          <w:b/>
          <w:bCs/>
        </w:rPr>
        <w:tab/>
      </w:r>
      <w:r w:rsidR="006E7686" w:rsidRPr="00457A6C" w:rsidDel="00671A48">
        <w:rPr>
          <w:rFonts w:ascii="Garamond" w:eastAsia="Arial Narrow" w:hAnsi="Garamond" w:cs="Arial Narrow"/>
          <w:b/>
          <w:bCs/>
        </w:rPr>
        <w:t xml:space="preserve"> </w:t>
      </w:r>
      <w:r w:rsidRPr="00457A6C">
        <w:rPr>
          <w:rFonts w:ascii="Garamond" w:eastAsia="Arial Narrow" w:hAnsi="Garamond" w:cs="Arial Narrow"/>
          <w:b/>
          <w:bCs/>
        </w:rPr>
        <w:tab/>
      </w:r>
    </w:p>
    <w:bookmarkEnd w:id="0"/>
    <w:p w14:paraId="5A458158" w14:textId="77777777" w:rsidR="00875977" w:rsidRPr="00457A6C" w:rsidRDefault="00875977" w:rsidP="00875977">
      <w:pPr>
        <w:keepNext/>
        <w:keepLines/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Garamond" w:hAnsi="Garamond" w:cs="Calibri"/>
          <w:spacing w:val="-2"/>
          <w:lang w:eastAsia="sk-SK"/>
        </w:rPr>
      </w:pPr>
      <w:r w:rsidRPr="00457A6C">
        <w:rPr>
          <w:rFonts w:ascii="Garamond" w:hAnsi="Garamond" w:cs="Calibri"/>
          <w:noProof/>
          <w:lang w:eastAsia="sk-SK"/>
        </w:rPr>
        <w:t>Jediné kritérium vyhodnotenia ponúk je</w:t>
      </w:r>
      <w:r w:rsidRPr="00457A6C">
        <w:rPr>
          <w:rFonts w:ascii="Garamond" w:hAnsi="Garamond" w:cs="Calibri"/>
          <w:spacing w:val="-2"/>
          <w:lang w:eastAsia="sk-SK"/>
        </w:rPr>
        <w:t xml:space="preserve"> </w:t>
      </w:r>
      <w:r w:rsidRPr="00457A6C">
        <w:rPr>
          <w:rFonts w:ascii="Garamond" w:hAnsi="Garamond" w:cs="Calibri"/>
          <w:b/>
          <w:spacing w:val="-2"/>
          <w:lang w:eastAsia="sk-SK"/>
        </w:rPr>
        <w:t>najnižšia ceny za 1 liter za predmet zákazky v EUR bez DPH</w:t>
      </w:r>
      <w:r w:rsidRPr="00457A6C">
        <w:rPr>
          <w:rFonts w:ascii="Garamond" w:hAnsi="Garamond" w:cs="Calibri"/>
          <w:spacing w:val="-2"/>
          <w:lang w:eastAsia="sk-SK"/>
        </w:rPr>
        <w:t>.</w:t>
      </w:r>
    </w:p>
    <w:p w14:paraId="378003CE" w14:textId="0A7A7619" w:rsidR="00875977" w:rsidRPr="00FD6C26" w:rsidRDefault="00875977" w:rsidP="00875977">
      <w:pPr>
        <w:keepNext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425" w:hanging="425"/>
        <w:contextualSpacing/>
        <w:jc w:val="both"/>
        <w:rPr>
          <w:rFonts w:ascii="Garamond" w:hAnsi="Garamond" w:cs="Calibri"/>
          <w:lang w:eastAsia="sk-SK"/>
        </w:rPr>
      </w:pPr>
      <w:r w:rsidRPr="00FD6C26">
        <w:rPr>
          <w:rFonts w:ascii="Garamond" w:eastAsia="Calibri" w:hAnsi="Garamond" w:cs="Calibri"/>
          <w:lang w:eastAsia="en-US"/>
        </w:rPr>
        <w:t xml:space="preserve">Uchádzač </w:t>
      </w:r>
      <w:r w:rsidRPr="00FD6C26">
        <w:rPr>
          <w:rFonts w:ascii="Garamond" w:hAnsi="Garamond" w:cs="Calibri"/>
          <w:lang w:eastAsia="sk-SK"/>
        </w:rPr>
        <w:t>uvedie</w:t>
      </w:r>
      <w:r w:rsidRPr="00FD6C26">
        <w:rPr>
          <w:rFonts w:ascii="Garamond" w:eastAsia="Calibri" w:hAnsi="Garamond" w:cs="Calibri"/>
          <w:lang w:eastAsia="en-US"/>
        </w:rPr>
        <w:t xml:space="preserve"> </w:t>
      </w:r>
      <w:r w:rsidRPr="00FD6C26">
        <w:rPr>
          <w:rFonts w:ascii="Garamond" w:hAnsi="Garamond" w:cs="Calibri"/>
          <w:lang w:eastAsia="sk-SK"/>
        </w:rPr>
        <w:t xml:space="preserve">cenu za 1 l (liter) pohonných hmôt (v EUR bez DPH aj s DPH) </w:t>
      </w:r>
      <w:r w:rsidRPr="00FD6C26">
        <w:rPr>
          <w:rFonts w:ascii="Garamond" w:hAnsi="Garamond" w:cs="Calibri"/>
          <w:u w:val="single"/>
          <w:lang w:eastAsia="sk-SK"/>
        </w:rPr>
        <w:t xml:space="preserve">vyčíslenú na </w:t>
      </w:r>
      <w:r w:rsidR="00FD6C26" w:rsidRPr="00FD6C26">
        <w:rPr>
          <w:rFonts w:ascii="Garamond" w:hAnsi="Garamond" w:cs="Calibri"/>
          <w:u w:val="single"/>
          <w:lang w:eastAsia="sk-SK"/>
        </w:rPr>
        <w:t>4</w:t>
      </w:r>
      <w:r w:rsidRPr="00FD6C26">
        <w:rPr>
          <w:rFonts w:ascii="Garamond" w:hAnsi="Garamond" w:cs="Calibri"/>
          <w:u w:val="single"/>
          <w:lang w:eastAsia="sk-SK"/>
        </w:rPr>
        <w:t xml:space="preserve"> desatinné miesta</w:t>
      </w:r>
      <w:r w:rsidRPr="00FD6C26">
        <w:rPr>
          <w:rFonts w:ascii="Garamond" w:hAnsi="Garamond" w:cs="Calibri"/>
          <w:lang w:eastAsia="sk-SK"/>
        </w:rPr>
        <w:t>.</w:t>
      </w:r>
    </w:p>
    <w:p w14:paraId="2934C602" w14:textId="77777777" w:rsidR="00875977" w:rsidRPr="00457A6C" w:rsidRDefault="00875977" w:rsidP="00875977">
      <w:pPr>
        <w:keepNext/>
        <w:tabs>
          <w:tab w:val="clear" w:pos="2160"/>
          <w:tab w:val="clear" w:pos="2880"/>
          <w:tab w:val="clear" w:pos="4500"/>
        </w:tabs>
        <w:spacing w:after="120"/>
        <w:ind w:left="425"/>
        <w:contextualSpacing/>
        <w:jc w:val="both"/>
        <w:rPr>
          <w:rFonts w:ascii="Garamond" w:hAnsi="Garamond" w:cs="Calibri"/>
          <w:lang w:eastAsia="sk-SK"/>
        </w:rPr>
      </w:pPr>
    </w:p>
    <w:p w14:paraId="451ED2D2" w14:textId="77777777" w:rsidR="00875977" w:rsidRPr="00457A6C" w:rsidRDefault="00875977" w:rsidP="00875977">
      <w:pPr>
        <w:keepNext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ind w:left="425" w:hanging="425"/>
        <w:contextualSpacing/>
        <w:jc w:val="both"/>
        <w:rPr>
          <w:rFonts w:ascii="Garamond" w:hAnsi="Garamond" w:cs="Calibri"/>
          <w:lang w:eastAsia="sk-SK"/>
        </w:rPr>
      </w:pPr>
      <w:r w:rsidRPr="00457A6C">
        <w:rPr>
          <w:rFonts w:ascii="Garamond" w:hAnsi="Garamond" w:cs="Calibri"/>
          <w:lang w:eastAsia="sk-SK"/>
        </w:rPr>
        <w:t xml:space="preserve">Uchádzač stanoví cenu za 1 l (liter) pohonných hmôt na základe vlastných prepočtov, pričom </w:t>
      </w:r>
    </w:p>
    <w:p w14:paraId="4A8AAC16" w14:textId="77777777" w:rsidR="00875977" w:rsidRPr="00457A6C" w:rsidRDefault="00875977" w:rsidP="00875977">
      <w:pPr>
        <w:keepNext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ind w:left="782" w:hanging="357"/>
        <w:jc w:val="both"/>
        <w:rPr>
          <w:rFonts w:ascii="Garamond" w:hAnsi="Garamond" w:cs="Calibri"/>
          <w:lang w:eastAsia="sk-SK"/>
        </w:rPr>
      </w:pPr>
      <w:r w:rsidRPr="00457A6C">
        <w:rPr>
          <w:rFonts w:ascii="Garamond" w:hAnsi="Garamond" w:cs="Calibri"/>
          <w:lang w:eastAsia="sk-SK"/>
        </w:rPr>
        <w:t>zoberie do úvahy všetky skutočnosti, ktoré sú nevyhnutné na úplné a riadne plnenie zmluvy;</w:t>
      </w:r>
    </w:p>
    <w:p w14:paraId="44F8B41D" w14:textId="40AF9969" w:rsidR="00875977" w:rsidRPr="00457A6C" w:rsidRDefault="00875977" w:rsidP="00875977">
      <w:pPr>
        <w:keepNext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ind w:left="782" w:hanging="357"/>
        <w:jc w:val="both"/>
        <w:rPr>
          <w:rFonts w:ascii="Garamond" w:hAnsi="Garamond" w:cs="Calibri"/>
          <w:lang w:eastAsia="sk-SK"/>
        </w:rPr>
      </w:pPr>
      <w:r w:rsidRPr="00457A6C">
        <w:rPr>
          <w:rFonts w:ascii="Garamond" w:hAnsi="Garamond" w:cs="Calibri"/>
          <w:lang w:eastAsia="sk-SK"/>
        </w:rPr>
        <w:t>do tejto hodnoty zahrnie všetky náklady spojené s požadovaným predmetom zákazky .</w:t>
      </w:r>
    </w:p>
    <w:p w14:paraId="2B9D30D4" w14:textId="77777777" w:rsidR="00875977" w:rsidRPr="00457A6C" w:rsidRDefault="00875977" w:rsidP="00875977">
      <w:pPr>
        <w:keepNext/>
        <w:tabs>
          <w:tab w:val="clear" w:pos="2160"/>
          <w:tab w:val="clear" w:pos="2880"/>
          <w:tab w:val="clear" w:pos="4500"/>
        </w:tabs>
        <w:ind w:left="782"/>
        <w:jc w:val="both"/>
        <w:rPr>
          <w:rFonts w:ascii="Garamond" w:hAnsi="Garamond" w:cs="Calibri"/>
          <w:lang w:eastAsia="sk-SK"/>
        </w:rPr>
      </w:pPr>
    </w:p>
    <w:p w14:paraId="14229A80" w14:textId="48670D22" w:rsidR="00875977" w:rsidRPr="00457A6C" w:rsidRDefault="00875977" w:rsidP="00875977">
      <w:pPr>
        <w:keepNext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before="120"/>
        <w:ind w:left="425" w:hanging="425"/>
        <w:contextualSpacing/>
        <w:jc w:val="both"/>
        <w:rPr>
          <w:rFonts w:ascii="Garamond" w:hAnsi="Garamond" w:cs="Calibri"/>
          <w:lang w:eastAsia="sk-SK"/>
        </w:rPr>
      </w:pPr>
      <w:r w:rsidRPr="00457A6C">
        <w:rPr>
          <w:rFonts w:ascii="Garamond" w:hAnsi="Garamond" w:cs="Calibri"/>
          <w:lang w:eastAsia="sk-SK"/>
        </w:rPr>
        <w:t xml:space="preserve">Zmluvná cena za 1 l (liter) pohonných hmôt musí byť stanovená ako cena komplexná, </w:t>
      </w:r>
      <w:proofErr w:type="spellStart"/>
      <w:r w:rsidRPr="00457A6C">
        <w:rPr>
          <w:rFonts w:ascii="Garamond" w:hAnsi="Garamond" w:cs="Calibri"/>
          <w:lang w:eastAsia="sk-SK"/>
        </w:rPr>
        <w:t>t.j</w:t>
      </w:r>
      <w:proofErr w:type="spellEnd"/>
      <w:r w:rsidRPr="00457A6C">
        <w:rPr>
          <w:rFonts w:ascii="Garamond" w:hAnsi="Garamond" w:cs="Calibri"/>
          <w:lang w:eastAsia="sk-SK"/>
        </w:rPr>
        <w:t>. musí zahŕňať všetky položky zákazky.</w:t>
      </w:r>
    </w:p>
    <w:p w14:paraId="346F9C35" w14:textId="77777777" w:rsidR="00875977" w:rsidRPr="00457A6C" w:rsidRDefault="00875977" w:rsidP="00875977">
      <w:pPr>
        <w:keepNext/>
        <w:tabs>
          <w:tab w:val="clear" w:pos="2160"/>
          <w:tab w:val="clear" w:pos="2880"/>
          <w:tab w:val="clear" w:pos="4500"/>
        </w:tabs>
        <w:spacing w:before="120"/>
        <w:ind w:left="425"/>
        <w:contextualSpacing/>
        <w:jc w:val="both"/>
        <w:rPr>
          <w:rFonts w:ascii="Garamond" w:hAnsi="Garamond" w:cs="Calibri"/>
          <w:lang w:eastAsia="sk-SK"/>
        </w:rPr>
      </w:pPr>
    </w:p>
    <w:p w14:paraId="0E8DCB70" w14:textId="769FEE45" w:rsidR="00875977" w:rsidRPr="00457A6C" w:rsidRDefault="00875977" w:rsidP="00875977">
      <w:pPr>
        <w:keepNext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before="120"/>
        <w:ind w:left="425" w:hanging="425"/>
        <w:contextualSpacing/>
        <w:jc w:val="both"/>
        <w:rPr>
          <w:rFonts w:ascii="Garamond" w:hAnsi="Garamond" w:cs="Calibri"/>
          <w:lang w:eastAsia="sk-SK"/>
        </w:rPr>
      </w:pPr>
      <w:r w:rsidRPr="00457A6C">
        <w:rPr>
          <w:rFonts w:ascii="Garamond" w:hAnsi="Garamond" w:cs="Calibri"/>
          <w:lang w:eastAsia="sk-SK"/>
        </w:rPr>
        <w:t xml:space="preserve">Uchádzač vypočíta aj Celkovú cenu za 48 000 000 l pohonných hmôt spolu (v EUR bez DPH aj s DPH) </w:t>
      </w:r>
      <w:r w:rsidRPr="00457A6C">
        <w:rPr>
          <w:rFonts w:ascii="Garamond" w:hAnsi="Garamond" w:cs="Calibri"/>
          <w:u w:val="single"/>
          <w:lang w:eastAsia="sk-SK"/>
        </w:rPr>
        <w:t xml:space="preserve">vyčíslenú </w:t>
      </w:r>
      <w:r w:rsidRPr="00FD6C26">
        <w:rPr>
          <w:rFonts w:ascii="Garamond" w:hAnsi="Garamond" w:cs="Calibri"/>
          <w:u w:val="single"/>
          <w:lang w:eastAsia="sk-SK"/>
        </w:rPr>
        <w:t xml:space="preserve">na </w:t>
      </w:r>
      <w:r w:rsidR="00FD6C26" w:rsidRPr="00FD6C26">
        <w:rPr>
          <w:rFonts w:ascii="Garamond" w:hAnsi="Garamond" w:cs="Calibri"/>
          <w:u w:val="single"/>
          <w:lang w:eastAsia="sk-SK"/>
        </w:rPr>
        <w:t>4</w:t>
      </w:r>
      <w:r w:rsidRPr="00FD6C26">
        <w:rPr>
          <w:rFonts w:ascii="Garamond" w:hAnsi="Garamond" w:cs="Calibri"/>
          <w:u w:val="single"/>
          <w:lang w:eastAsia="sk-SK"/>
        </w:rPr>
        <w:t xml:space="preserve"> desatinné miesta</w:t>
      </w:r>
      <w:r w:rsidRPr="00FD6C26">
        <w:rPr>
          <w:rFonts w:ascii="Garamond" w:hAnsi="Garamond" w:cs="Calibri"/>
          <w:lang w:eastAsia="sk-SK"/>
        </w:rPr>
        <w:t>.</w:t>
      </w:r>
      <w:r w:rsidRPr="00457A6C">
        <w:rPr>
          <w:rFonts w:ascii="Garamond" w:hAnsi="Garamond" w:cs="Calibri"/>
          <w:lang w:eastAsia="sk-SK"/>
        </w:rPr>
        <w:t xml:space="preserve"> </w:t>
      </w:r>
    </w:p>
    <w:p w14:paraId="465786E7" w14:textId="77777777" w:rsidR="00875977" w:rsidRPr="00457A6C" w:rsidRDefault="00875977" w:rsidP="00875977">
      <w:pPr>
        <w:keepNext/>
        <w:tabs>
          <w:tab w:val="clear" w:pos="2160"/>
          <w:tab w:val="clear" w:pos="2880"/>
          <w:tab w:val="clear" w:pos="4500"/>
        </w:tabs>
        <w:spacing w:before="120"/>
        <w:contextualSpacing/>
        <w:jc w:val="both"/>
        <w:rPr>
          <w:rFonts w:ascii="Garamond" w:hAnsi="Garamond" w:cs="Calibri"/>
          <w:lang w:eastAsia="sk-SK"/>
        </w:rPr>
      </w:pPr>
    </w:p>
    <w:p w14:paraId="70C23E3C" w14:textId="5A145102" w:rsidR="00875977" w:rsidRPr="00457A6C" w:rsidRDefault="00875977" w:rsidP="00875977">
      <w:pPr>
        <w:keepNext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before="120"/>
        <w:ind w:left="425" w:hanging="425"/>
        <w:contextualSpacing/>
        <w:jc w:val="both"/>
        <w:rPr>
          <w:rFonts w:ascii="Garamond" w:eastAsia="Calibri" w:hAnsi="Garamond" w:cs="Calibri"/>
          <w:lang w:eastAsia="en-US"/>
        </w:rPr>
      </w:pPr>
      <w:bookmarkStart w:id="1" w:name="_Toc495055091"/>
      <w:r w:rsidRPr="00457A6C">
        <w:rPr>
          <w:rFonts w:ascii="Garamond" w:eastAsia="Calibri" w:hAnsi="Garamond" w:cs="Calibri"/>
          <w:lang w:eastAsia="en-US"/>
        </w:rPr>
        <w:t>Navrhovaná cena musí byť stanovená v súlade so zákonom č. 18/1996 Z. z. o cenách v znení neskorších predpisov a vyhláškou Ministerstva financií Slovenskej republiky č. 87/1996 Z. z. ktorou sa vykonáva zákon Národnej rady Slovenskej republiky č. 18/1996 Z. z. o cenách v znení neskorších predpisov.</w:t>
      </w:r>
      <w:bookmarkEnd w:id="1"/>
    </w:p>
    <w:p w14:paraId="5874A8B2" w14:textId="77777777" w:rsidR="00875977" w:rsidRPr="00457A6C" w:rsidRDefault="00875977" w:rsidP="00875977">
      <w:pPr>
        <w:keepNext/>
        <w:tabs>
          <w:tab w:val="clear" w:pos="2160"/>
          <w:tab w:val="clear" w:pos="2880"/>
          <w:tab w:val="clear" w:pos="4500"/>
        </w:tabs>
        <w:spacing w:before="120"/>
        <w:contextualSpacing/>
        <w:jc w:val="both"/>
        <w:rPr>
          <w:rFonts w:ascii="Garamond" w:eastAsia="Calibri" w:hAnsi="Garamond" w:cs="Calibri"/>
          <w:lang w:eastAsia="en-US"/>
        </w:rPr>
      </w:pPr>
    </w:p>
    <w:p w14:paraId="66DA66A0" w14:textId="420E1BE4" w:rsidR="00875977" w:rsidRPr="00457A6C" w:rsidRDefault="00875977" w:rsidP="00875977">
      <w:pPr>
        <w:keepNext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before="120"/>
        <w:ind w:left="425" w:hanging="425"/>
        <w:contextualSpacing/>
        <w:jc w:val="both"/>
        <w:rPr>
          <w:rFonts w:ascii="Garamond" w:eastAsia="Calibri" w:hAnsi="Garamond" w:cs="Calibri"/>
          <w:lang w:eastAsia="en-US"/>
        </w:rPr>
      </w:pPr>
      <w:r w:rsidRPr="00457A6C">
        <w:rPr>
          <w:rFonts w:ascii="Garamond" w:eastAsia="Calibri" w:hAnsi="Garamond" w:cs="Calibri"/>
          <w:lang w:eastAsia="en-US"/>
        </w:rPr>
        <w:t xml:space="preserve">Uchádzač v Dotazníku uchádzača (Príloha č.5 SP) uvedie aj výšku </w:t>
      </w:r>
      <w:r w:rsidRPr="00457A6C">
        <w:rPr>
          <w:rFonts w:ascii="Garamond" w:eastAsia="Calibri" w:hAnsi="Garamond" w:cs="Calibri"/>
          <w:b/>
          <w:bCs/>
          <w:lang w:eastAsia="en-US"/>
        </w:rPr>
        <w:t xml:space="preserve">fixnej zľavy </w:t>
      </w:r>
      <w:r w:rsidRPr="00457A6C">
        <w:rPr>
          <w:rFonts w:ascii="Garamond" w:eastAsia="Calibri" w:hAnsi="Garamond" w:cs="Calibri"/>
          <w:lang w:eastAsia="en-US"/>
        </w:rPr>
        <w:t>(v EUR bez DPH), ktorá</w:t>
      </w:r>
      <w:r w:rsidRPr="00457A6C">
        <w:rPr>
          <w:rFonts w:ascii="Garamond" w:eastAsia="Calibri" w:hAnsi="Garamond" w:cs="Calibri"/>
          <w:lang w:eastAsia="ar-SA"/>
        </w:rPr>
        <w:t xml:space="preserve"> </w:t>
      </w:r>
      <w:r w:rsidRPr="00475DB8">
        <w:rPr>
          <w:rFonts w:ascii="Garamond" w:eastAsia="Calibri" w:hAnsi="Garamond" w:cs="Calibri"/>
          <w:lang w:eastAsia="ar-SA"/>
        </w:rPr>
        <w:t xml:space="preserve">predstavuje rozdiel Rozhodujúcej referenčnej ceny a Referenčnej kúpnej ceny </w:t>
      </w:r>
      <w:r w:rsidRPr="00475DB8">
        <w:rPr>
          <w:rFonts w:ascii="Garamond" w:eastAsia="Calibri" w:hAnsi="Garamond" w:cs="Calibri"/>
          <w:u w:val="single"/>
          <w:lang w:eastAsia="ar-SA"/>
        </w:rPr>
        <w:t>zaokrúhlený na 4 (štyri) desatinné miesta</w:t>
      </w:r>
      <w:r w:rsidRPr="00475DB8">
        <w:rPr>
          <w:rFonts w:ascii="Garamond" w:eastAsia="Calibri" w:hAnsi="Garamond" w:cs="Calibri"/>
          <w:lang w:eastAsia="ar-SA"/>
        </w:rPr>
        <w:t xml:space="preserve"> (</w:t>
      </w:r>
      <w:r w:rsidRPr="00475DB8">
        <w:rPr>
          <w:rFonts w:ascii="Garamond" w:hAnsi="Garamond" w:cs="Calibri"/>
          <w:lang w:eastAsia="en-US"/>
        </w:rPr>
        <w:t xml:space="preserve">Viac v článku </w:t>
      </w:r>
      <w:r w:rsidRPr="00475DB8">
        <w:rPr>
          <w:rFonts w:ascii="Garamond" w:eastAsia="Calibri" w:hAnsi="Garamond" w:cs="Calibri"/>
          <w:lang w:eastAsia="en-US"/>
        </w:rPr>
        <w:t>1</w:t>
      </w:r>
      <w:r w:rsidRPr="00475DB8">
        <w:rPr>
          <w:rFonts w:ascii="Garamond" w:hAnsi="Garamond" w:cs="Calibri"/>
          <w:lang w:eastAsia="en-US"/>
        </w:rPr>
        <w:t>.</w:t>
      </w:r>
      <w:r w:rsidRPr="00475DB8">
        <w:rPr>
          <w:rFonts w:ascii="Garamond" w:eastAsia="Calibri" w:hAnsi="Garamond" w:cs="Calibri"/>
          <w:lang w:eastAsia="en-US"/>
        </w:rPr>
        <w:t>1</w:t>
      </w:r>
      <w:r w:rsidRPr="00475DB8">
        <w:rPr>
          <w:rFonts w:ascii="Garamond" w:hAnsi="Garamond" w:cs="Calibri"/>
          <w:lang w:eastAsia="en-US"/>
        </w:rPr>
        <w:t xml:space="preserve"> Zmluvy</w:t>
      </w:r>
      <w:r w:rsidRPr="00475DB8">
        <w:rPr>
          <w:rFonts w:ascii="Garamond" w:eastAsia="Calibri" w:hAnsi="Garamond" w:cs="Calibri"/>
          <w:lang w:eastAsia="en-US"/>
        </w:rPr>
        <w:t>).</w:t>
      </w:r>
    </w:p>
    <w:p w14:paraId="3250BE9D" w14:textId="77777777" w:rsidR="00875977" w:rsidRPr="00457A6C" w:rsidRDefault="00875977" w:rsidP="00875977">
      <w:pPr>
        <w:keepNext/>
        <w:tabs>
          <w:tab w:val="clear" w:pos="2160"/>
          <w:tab w:val="clear" w:pos="2880"/>
          <w:tab w:val="clear" w:pos="4500"/>
        </w:tabs>
        <w:spacing w:before="120"/>
        <w:contextualSpacing/>
        <w:jc w:val="both"/>
        <w:rPr>
          <w:rFonts w:ascii="Garamond" w:eastAsia="Calibri" w:hAnsi="Garamond" w:cs="Calibri"/>
          <w:lang w:eastAsia="en-US"/>
        </w:rPr>
      </w:pPr>
    </w:p>
    <w:p w14:paraId="639FF871" w14:textId="3BDAC1DC" w:rsidR="00875977" w:rsidRPr="00457A6C" w:rsidRDefault="00875977" w:rsidP="00875977">
      <w:pPr>
        <w:keepNext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before="120"/>
        <w:ind w:left="425" w:hanging="425"/>
        <w:contextualSpacing/>
        <w:jc w:val="both"/>
        <w:rPr>
          <w:rFonts w:ascii="Garamond" w:eastAsia="Calibri" w:hAnsi="Garamond" w:cs="Calibri"/>
          <w:lang w:eastAsia="en-US"/>
        </w:rPr>
      </w:pPr>
      <w:bookmarkStart w:id="2" w:name="_Toc495055093"/>
      <w:r w:rsidRPr="00457A6C">
        <w:rPr>
          <w:rFonts w:ascii="Garamond" w:eastAsia="Calibri" w:hAnsi="Garamond" w:cs="Calibri"/>
          <w:lang w:eastAsia="en-US"/>
        </w:rPr>
        <w:t>Výhradnou povinnosťou uchádzača je dôsledne preskúmať celý obsah súťažných podkladov a na základe ich obsahu, vlastných výpočtov, činností, výdavkov a príjmov podľa platných právnych predpisov stanoviť Zmluvnú cenu za uskutočnenie predmetu zákazky. Uchádzač je pred predložením svojej ponuky povinný vziať do úvahy všetko, čo je nevyhnutné na úplné a riadne plnenie Zmluvy.</w:t>
      </w:r>
      <w:bookmarkEnd w:id="2"/>
    </w:p>
    <w:p w14:paraId="524BECF6" w14:textId="77777777" w:rsidR="00875977" w:rsidRPr="00457A6C" w:rsidRDefault="00875977" w:rsidP="00875977">
      <w:pPr>
        <w:keepNext/>
        <w:tabs>
          <w:tab w:val="clear" w:pos="2160"/>
          <w:tab w:val="clear" w:pos="2880"/>
          <w:tab w:val="clear" w:pos="4500"/>
        </w:tabs>
        <w:spacing w:before="120"/>
        <w:contextualSpacing/>
        <w:jc w:val="both"/>
        <w:rPr>
          <w:rFonts w:ascii="Garamond" w:eastAsia="Calibri" w:hAnsi="Garamond" w:cs="Calibri"/>
          <w:lang w:eastAsia="en-US"/>
        </w:rPr>
      </w:pPr>
    </w:p>
    <w:p w14:paraId="0B0AEB9C" w14:textId="1E9C0D9B" w:rsidR="00875977" w:rsidRPr="00457A6C" w:rsidRDefault="00875977" w:rsidP="00875977">
      <w:pPr>
        <w:keepNext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before="120"/>
        <w:ind w:left="425" w:hanging="425"/>
        <w:contextualSpacing/>
        <w:jc w:val="both"/>
        <w:rPr>
          <w:rFonts w:ascii="Garamond" w:eastAsia="Calibri" w:hAnsi="Garamond" w:cs="Calibri"/>
          <w:lang w:eastAsia="en-US"/>
        </w:rPr>
      </w:pPr>
      <w:r w:rsidRPr="00457A6C">
        <w:rPr>
          <w:rFonts w:ascii="Garamond" w:eastAsia="Calibri" w:hAnsi="Garamond" w:cs="Calibri"/>
          <w:lang w:eastAsia="en-US"/>
        </w:rPr>
        <w:t>Ak bude úspešný uchádzač zdaniteľná osoba z členského štátu Európskej únie, nebude si uplatňovať DPH platnú vo svojej domovskej krajine z dôvodu oslobodenia poskytovania služieb v inom členskom štáte. Príslušnú daň z pridanej hodnoty odvedie v zmysle platných právnych predpisov Slovenskej republiky obstarávateľská organizácia, ako nadobúdateľ služby z iného členského štátu v tuzemsku. V takomto prípade bude uchádzačovi prirátaná DPH k celkovej ponúkanej cene. Na skutočnosť, že si nebude uplatňovať DPH platnú vo svojej domovskej krajine uchádzač upozorní obstarávateľskú organizáciu v ponuke, v návrhu na plnenie kritérií.</w:t>
      </w:r>
    </w:p>
    <w:p w14:paraId="63C2B88A" w14:textId="77777777" w:rsidR="00875977" w:rsidRPr="00457A6C" w:rsidRDefault="00875977" w:rsidP="00875977">
      <w:pPr>
        <w:keepNext/>
        <w:tabs>
          <w:tab w:val="clear" w:pos="2160"/>
          <w:tab w:val="clear" w:pos="2880"/>
          <w:tab w:val="clear" w:pos="4500"/>
        </w:tabs>
        <w:spacing w:before="120"/>
        <w:contextualSpacing/>
        <w:jc w:val="both"/>
        <w:rPr>
          <w:rFonts w:ascii="Garamond" w:eastAsia="Calibri" w:hAnsi="Garamond" w:cs="Calibri"/>
          <w:lang w:eastAsia="en-US"/>
        </w:rPr>
      </w:pPr>
    </w:p>
    <w:p w14:paraId="3CFD6A02" w14:textId="77777777" w:rsidR="00875977" w:rsidRPr="00457A6C" w:rsidRDefault="00875977" w:rsidP="00875977">
      <w:pPr>
        <w:keepNext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before="120"/>
        <w:ind w:left="425" w:hanging="425"/>
        <w:contextualSpacing/>
        <w:jc w:val="both"/>
        <w:rPr>
          <w:rFonts w:ascii="Garamond" w:eastAsia="Calibri" w:hAnsi="Garamond" w:cs="Arial"/>
          <w:lang w:eastAsia="en-US"/>
        </w:rPr>
      </w:pPr>
      <w:r w:rsidRPr="00457A6C">
        <w:rPr>
          <w:rFonts w:ascii="Garamond" w:eastAsia="Calibri" w:hAnsi="Garamond" w:cs="Calibri"/>
          <w:lang w:eastAsia="en-US"/>
        </w:rPr>
        <w:t>Elektronická</w:t>
      </w:r>
      <w:r w:rsidRPr="00457A6C">
        <w:rPr>
          <w:rFonts w:ascii="Garamond" w:eastAsia="Calibri" w:hAnsi="Garamond" w:cs="Arial"/>
          <w:lang w:eastAsia="en-US"/>
        </w:rPr>
        <w:t xml:space="preserve"> aukcia sa v tomto súťažnom postupe nepoužije.</w:t>
      </w:r>
    </w:p>
    <w:p w14:paraId="60D89A41" w14:textId="77777777" w:rsidR="00875977" w:rsidRPr="00457A6C" w:rsidRDefault="00875977" w:rsidP="00875977">
      <w:pPr>
        <w:tabs>
          <w:tab w:val="clear" w:pos="2160"/>
          <w:tab w:val="clear" w:pos="2880"/>
          <w:tab w:val="clear" w:pos="4500"/>
        </w:tabs>
        <w:suppressAutoHyphens/>
        <w:jc w:val="both"/>
        <w:outlineLvl w:val="0"/>
        <w:rPr>
          <w:rFonts w:ascii="Garamond" w:hAnsi="Garamond" w:cs="Calibri"/>
          <w:lang w:eastAsia="sk-SK"/>
        </w:rPr>
      </w:pPr>
    </w:p>
    <w:p w14:paraId="70A28D0C" w14:textId="77777777" w:rsidR="00875977" w:rsidRPr="00457A6C" w:rsidRDefault="00875977" w:rsidP="00875977">
      <w:pPr>
        <w:keepNext/>
        <w:keepLines/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center"/>
        <w:rPr>
          <w:rFonts w:ascii="Garamond" w:eastAsia="Calibri" w:hAnsi="Garamond" w:cs="Arial"/>
          <w:lang w:eastAsia="en-US"/>
        </w:rPr>
      </w:pPr>
      <w:r w:rsidRPr="00457A6C">
        <w:rPr>
          <w:rFonts w:ascii="Garamond" w:eastAsia="Calibri" w:hAnsi="Garamond" w:cs="Calibri"/>
          <w:lang w:eastAsia="en-US"/>
        </w:rPr>
        <w:t>******</w:t>
      </w:r>
    </w:p>
    <w:p w14:paraId="41B17575" w14:textId="16767A7B" w:rsidR="000968B8" w:rsidRPr="00457A6C" w:rsidRDefault="000968B8" w:rsidP="00875977">
      <w:pPr>
        <w:spacing w:before="120" w:after="120"/>
        <w:ind w:left="3686" w:hanging="3686"/>
        <w:jc w:val="center"/>
        <w:rPr>
          <w:rFonts w:ascii="Garamond" w:hAnsi="Garamond"/>
          <w:b/>
          <w:lang w:eastAsia="sk-SK"/>
        </w:rPr>
      </w:pPr>
    </w:p>
    <w:sectPr w:rsidR="000968B8" w:rsidRPr="00457A6C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ECE2" w14:textId="77777777" w:rsidR="00BA7965" w:rsidRDefault="00BA7965" w:rsidP="008023A2">
      <w:r>
        <w:separator/>
      </w:r>
    </w:p>
  </w:endnote>
  <w:endnote w:type="continuationSeparator" w:id="0">
    <w:p w14:paraId="78441BB9" w14:textId="77777777" w:rsidR="00BA7965" w:rsidRDefault="00BA7965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F7D8" w14:textId="77777777" w:rsidR="00BA7965" w:rsidRDefault="00BA7965" w:rsidP="008023A2">
      <w:r>
        <w:separator/>
      </w:r>
    </w:p>
  </w:footnote>
  <w:footnote w:type="continuationSeparator" w:id="0">
    <w:p w14:paraId="0FDC9F99" w14:textId="77777777" w:rsidR="00BA7965" w:rsidRDefault="00BA7965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90F7E"/>
    <w:multiLevelType w:val="hybridMultilevel"/>
    <w:tmpl w:val="269C98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95C6D"/>
    <w:multiLevelType w:val="multilevel"/>
    <w:tmpl w:val="3B18956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93251027">
    <w:abstractNumId w:val="0"/>
  </w:num>
  <w:num w:numId="2" w16cid:durableId="1340618970">
    <w:abstractNumId w:val="15"/>
  </w:num>
  <w:num w:numId="3" w16cid:durableId="990521399">
    <w:abstractNumId w:val="10"/>
  </w:num>
  <w:num w:numId="4" w16cid:durableId="1289553072">
    <w:abstractNumId w:val="4"/>
  </w:num>
  <w:num w:numId="5" w16cid:durableId="1439373067">
    <w:abstractNumId w:val="11"/>
  </w:num>
  <w:num w:numId="6" w16cid:durableId="94177112">
    <w:abstractNumId w:val="2"/>
  </w:num>
  <w:num w:numId="7" w16cid:durableId="1152601587">
    <w:abstractNumId w:val="16"/>
  </w:num>
  <w:num w:numId="8" w16cid:durableId="543565951">
    <w:abstractNumId w:val="6"/>
  </w:num>
  <w:num w:numId="9" w16cid:durableId="1501652441">
    <w:abstractNumId w:val="14"/>
  </w:num>
  <w:num w:numId="10" w16cid:durableId="252474247">
    <w:abstractNumId w:val="1"/>
  </w:num>
  <w:num w:numId="11" w16cid:durableId="1874685089">
    <w:abstractNumId w:val="8"/>
  </w:num>
  <w:num w:numId="12" w16cid:durableId="302976720">
    <w:abstractNumId w:val="13"/>
  </w:num>
  <w:num w:numId="13" w16cid:durableId="1232236711">
    <w:abstractNumId w:val="5"/>
  </w:num>
  <w:num w:numId="14" w16cid:durableId="561408040">
    <w:abstractNumId w:val="3"/>
  </w:num>
  <w:num w:numId="15" w16cid:durableId="317421453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6247790">
    <w:abstractNumId w:val="8"/>
  </w:num>
  <w:num w:numId="17" w16cid:durableId="1148470792">
    <w:abstractNumId w:val="8"/>
  </w:num>
  <w:num w:numId="18" w16cid:durableId="1798908753">
    <w:abstractNumId w:val="18"/>
  </w:num>
  <w:num w:numId="19" w16cid:durableId="1984308485">
    <w:abstractNumId w:val="9"/>
  </w:num>
  <w:num w:numId="20" w16cid:durableId="14992316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7214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57A6C"/>
    <w:rsid w:val="00475DB8"/>
    <w:rsid w:val="004A2640"/>
    <w:rsid w:val="00531002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875977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7506D"/>
    <w:rsid w:val="00DD0E71"/>
    <w:rsid w:val="00E62E77"/>
    <w:rsid w:val="00E80286"/>
    <w:rsid w:val="00EE263B"/>
    <w:rsid w:val="00F058BB"/>
    <w:rsid w:val="00F311F4"/>
    <w:rsid w:val="00FA5311"/>
    <w:rsid w:val="00FD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7597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75977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9</cp:revision>
  <dcterms:created xsi:type="dcterms:W3CDTF">2020-11-24T11:24:00Z</dcterms:created>
  <dcterms:modified xsi:type="dcterms:W3CDTF">2022-05-10T10:20:00Z</dcterms:modified>
</cp:coreProperties>
</file>