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887BC6">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887BC6">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887BC6">
        <w:rPr>
          <w:rFonts w:ascii="Arial Narrow" w:hAnsi="Arial Narrow" w:cs="Calibri"/>
          <w:bCs/>
          <w:szCs w:val="24"/>
        </w:rPr>
        <w:t> </w:t>
      </w:r>
      <w:r w:rsidRPr="00560622">
        <w:rPr>
          <w:rFonts w:ascii="Arial Narrow" w:hAnsi="Arial Narrow" w:cs="Calibri"/>
          <w:bCs/>
          <w:szCs w:val="24"/>
        </w:rPr>
        <w:t>názvom</w:t>
      </w:r>
      <w:r w:rsidR="00887BC6">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Pr="00B96A6A" w:rsidRDefault="00DE521C" w:rsidP="00B96A6A">
      <w:pPr>
        <w:pStyle w:val="CTL"/>
        <w:numPr>
          <w:ilvl w:val="1"/>
          <w:numId w:val="31"/>
        </w:numPr>
        <w:spacing w:after="240" w:line="24" w:lineRule="atLeast"/>
        <w:ind w:left="567" w:hanging="567"/>
        <w:contextualSpacing/>
        <w:rPr>
          <w:rFonts w:ascii="Arial Narrow" w:hAnsi="Arial Narrow" w:cs="Calibri"/>
          <w:szCs w:val="24"/>
        </w:rPr>
      </w:pPr>
      <w:r w:rsidRPr="00B96A6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B96A6A">
        <w:rPr>
          <w:rFonts w:ascii="Arial Narrow" w:hAnsi="Arial Narrow" w:cs="Calibri"/>
          <w:szCs w:val="24"/>
        </w:rPr>
        <w:t>„</w:t>
      </w:r>
      <w:r w:rsidR="00247C1A" w:rsidRPr="00B96A6A">
        <w:rPr>
          <w:rFonts w:ascii="Arial Narrow" w:hAnsi="Arial Narrow"/>
          <w:b/>
          <w:shd w:val="clear" w:color="auto" w:fill="FFFFFF" w:themeFill="background1"/>
        </w:rPr>
        <w:t>Mobilné zariadenia určené prioritne na vykonávanie verifikácie s využitím biometrických údajov a Mobilné zariadenia určené prioritne na vytváranie osobitnej zložky v systéme EES</w:t>
      </w:r>
      <w:r w:rsidR="003C0B0D">
        <w:rPr>
          <w:rFonts w:ascii="Arial Narrow" w:hAnsi="Arial Narrow"/>
          <w:szCs w:val="24"/>
        </w:rPr>
        <w:t xml:space="preserve">“. </w:t>
      </w:r>
    </w:p>
    <w:p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xml:space="preserve">. Predmet zákazky je realizovaný a financovaný v zmysle Národného programu Fond pre vnútornú bezpečnosť SK 2020 ISF SC2/NC6/A7 a zdrojov štátneho rozpočtu.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887BC6">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3A4AC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3664B3">
        <w:rPr>
          <w:rFonts w:ascii="Arial Narrow" w:hAnsi="Arial Narrow" w:cs="Calibri"/>
          <w:szCs w:val="24"/>
        </w:rPr>
        <w:t>v slovenskom alebo českom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3A4AC2">
        <w:rPr>
          <w:rFonts w:ascii="Arial Narrow" w:hAnsi="Arial Narrow"/>
          <w:szCs w:val="24"/>
        </w:rPr>
        <w:t> </w:t>
      </w:r>
      <w:r w:rsidRPr="00560622">
        <w:rPr>
          <w:rFonts w:ascii="Arial Narrow" w:hAnsi="Arial Narrow"/>
          <w:szCs w:val="24"/>
        </w:rPr>
        <w:t>mieste</w:t>
      </w:r>
      <w:r w:rsidR="003A4AC2">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6B1718">
        <w:rPr>
          <w:rFonts w:ascii="Arial Narrow" w:hAnsi="Arial Narrow" w:cs="Calibri"/>
          <w:szCs w:val="24"/>
        </w:rPr>
        <w:t>120</w:t>
      </w:r>
      <w:bookmarkStart w:id="0" w:name="_GoBack"/>
      <w:bookmarkEnd w:id="0"/>
      <w:r w:rsidR="00EE5DE2" w:rsidRPr="00560622">
        <w:rPr>
          <w:rFonts w:ascii="Arial Narrow" w:hAnsi="Arial Narrow" w:cs="Calibri"/>
          <w:szCs w:val="24"/>
        </w:rPr>
        <w:t xml:space="preserve"> dní</w:t>
      </w:r>
      <w:r w:rsidR="00887BC6">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560622" w:rsidRPr="00560622">
        <w:rPr>
          <w:rFonts w:ascii="Arial Narrow" w:hAnsi="Arial Narrow" w:cs="Calibri"/>
          <w:szCs w:val="24"/>
        </w:rPr>
        <w:t xml:space="preserve">: Ministerstvo vnútra SR, Račianska 45 (vchod z </w:t>
      </w:r>
      <w:proofErr w:type="spellStart"/>
      <w:r w:rsidR="00560622" w:rsidRPr="00560622">
        <w:rPr>
          <w:rFonts w:ascii="Arial Narrow" w:hAnsi="Arial Narrow" w:cs="Calibri"/>
          <w:szCs w:val="24"/>
        </w:rPr>
        <w:t>Legerského</w:t>
      </w:r>
      <w:proofErr w:type="spellEnd"/>
      <w:r w:rsidR="00560622" w:rsidRPr="00560622">
        <w:rPr>
          <w:rFonts w:ascii="Arial Narrow" w:hAnsi="Arial Narrow" w:cs="Calibri"/>
          <w:szCs w:val="24"/>
        </w:rPr>
        <w:t>), Bratislava.</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3A4AC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w:t>
      </w:r>
      <w:proofErr w:type="spellStart"/>
      <w:r w:rsidR="00E53022" w:rsidRPr="00560622">
        <w:rPr>
          <w:rFonts w:ascii="Arial Narrow" w:hAnsi="Arial Narrow"/>
          <w:color w:val="000000"/>
          <w:szCs w:val="24"/>
        </w:rPr>
        <w:t>vád</w:t>
      </w:r>
      <w:proofErr w:type="spellEnd"/>
      <w:r w:rsidR="00E53022" w:rsidRPr="00560622">
        <w:rPr>
          <w:rFonts w:ascii="Arial Narrow" w:hAnsi="Arial Narrow"/>
          <w:color w:val="000000"/>
          <w:szCs w:val="24"/>
        </w:rPr>
        <w:t xml:space="preserve">, dodaný v kompletnom stave a v požadovanom množstve. V opačnom prípade si vyhradzuje právo nepodpísať dodací list, neprebrať dodaný </w:t>
      </w:r>
      <w:r w:rsidR="001B5406" w:rsidRPr="00560622">
        <w:rPr>
          <w:rFonts w:ascii="Arial Narrow" w:hAnsi="Arial Narrow"/>
          <w:color w:val="000000"/>
          <w:szCs w:val="24"/>
        </w:rPr>
        <w:lastRenderedPageBreak/>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887BC6">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887BC6">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rsidR="00BB427D" w:rsidRPr="0004664D"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6B3CC6" w:rsidRPr="0064184D" w:rsidRDefault="0004664D" w:rsidP="006B3CC6">
      <w:pPr>
        <w:pStyle w:val="CTL"/>
        <w:numPr>
          <w:ilvl w:val="1"/>
          <w:numId w:val="13"/>
        </w:numPr>
        <w:tabs>
          <w:tab w:val="left" w:pos="567"/>
        </w:tabs>
        <w:spacing w:after="240" w:line="24" w:lineRule="atLeast"/>
        <w:ind w:left="567" w:hanging="567"/>
        <w:contextualSpacing/>
        <w:rPr>
          <w:rFonts w:ascii="Arial Narrow" w:hAnsi="Arial Narrow"/>
          <w:szCs w:val="24"/>
        </w:rPr>
      </w:pPr>
      <w:r w:rsidRPr="00E867B9">
        <w:rPr>
          <w:rFonts w:ascii="Arial Narrow" w:hAnsi="Arial Narrow" w:cs="Calibri"/>
          <w:szCs w:val="24"/>
        </w:rPr>
        <w:t xml:space="preserve">V prípade, že Predávajúci, jeho subdodávateľ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alebo subdodávateľ  podľa</w:t>
      </w:r>
      <w:r w:rsidRPr="00C1019B">
        <w:rPr>
          <w:szCs w:val="24"/>
        </w:rPr>
        <w:t xml:space="preserve"> </w:t>
      </w:r>
      <w:r w:rsidRPr="00E867B9">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C1019B">
        <w:rPr>
          <w:szCs w:val="24"/>
        </w:rPr>
        <w:t xml:space="preserve"> </w:t>
      </w:r>
      <w:r w:rsidRPr="00E867B9">
        <w:rPr>
          <w:rFonts w:ascii="Arial Narrow" w:hAnsi="Arial Narrow" w:cs="Calibri"/>
          <w:szCs w:val="24"/>
        </w:rPr>
        <w:t xml:space="preserve">jeho subdodávateľa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xml:space="preserve">. alebo subdodávateľa  podľa  zákona č. </w:t>
      </w:r>
      <w:r w:rsidR="0064184D">
        <w:rPr>
          <w:rFonts w:ascii="Arial Narrow" w:hAnsi="Arial Narrow" w:cs="Calibri"/>
          <w:szCs w:val="24"/>
        </w:rPr>
        <w:t xml:space="preserve">          </w:t>
      </w:r>
      <w:r w:rsidRPr="00E867B9">
        <w:rPr>
          <w:rFonts w:ascii="Arial Narrow" w:hAnsi="Arial Narrow" w:cs="Calibri"/>
          <w:szCs w:val="24"/>
        </w:rPr>
        <w:t>315/2016 Z. z., nie je:</w:t>
      </w:r>
    </w:p>
    <w:p w:rsidR="0064184D" w:rsidRDefault="0064184D" w:rsidP="0064184D">
      <w:pPr>
        <w:pStyle w:val="CTL"/>
        <w:numPr>
          <w:ilvl w:val="0"/>
          <w:numId w:val="0"/>
        </w:numPr>
        <w:tabs>
          <w:tab w:val="left" w:pos="567"/>
        </w:tabs>
        <w:spacing w:after="240" w:line="24" w:lineRule="atLeast"/>
        <w:ind w:left="567"/>
        <w:contextualSpacing/>
        <w:rPr>
          <w:rFonts w:ascii="Arial Narrow" w:hAnsi="Arial Narrow"/>
          <w:szCs w:val="24"/>
        </w:rPr>
      </w:pPr>
    </w:p>
    <w:p w:rsidR="006B3CC6" w:rsidRDefault="006B3CC6" w:rsidP="006B3CC6">
      <w:pPr>
        <w:pStyle w:val="CTL"/>
        <w:numPr>
          <w:ilvl w:val="0"/>
          <w:numId w:val="0"/>
        </w:numPr>
        <w:spacing w:after="240" w:line="24" w:lineRule="atLeast"/>
        <w:ind w:left="993" w:hanging="426"/>
        <w:contextualSpacing/>
        <w:rPr>
          <w:rFonts w:ascii="Arial Narrow" w:hAnsi="Arial Narrow" w:cs="Calibri"/>
          <w:szCs w:val="24"/>
        </w:rPr>
      </w:pPr>
      <w:r>
        <w:rPr>
          <w:rFonts w:ascii="Arial Narrow" w:hAnsi="Arial Narrow"/>
          <w:szCs w:val="24"/>
        </w:rPr>
        <w:t>1</w:t>
      </w:r>
      <w:r w:rsidR="0004664D" w:rsidRPr="006B3CC6">
        <w:rPr>
          <w:rFonts w:ascii="Arial Narrow" w:hAnsi="Arial Narrow" w:cs="Calibri"/>
          <w:szCs w:val="24"/>
        </w:rPr>
        <w:t>.</w:t>
      </w:r>
      <w:r>
        <w:rPr>
          <w:rFonts w:ascii="Arial Narrow" w:hAnsi="Arial Narrow" w:cs="Calibri"/>
          <w:szCs w:val="24"/>
        </w:rPr>
        <w:t xml:space="preserve"> prezident Slovenskej republiky</w:t>
      </w:r>
      <w:r w:rsidR="0064184D">
        <w:rPr>
          <w:rFonts w:ascii="Arial Narrow" w:hAnsi="Arial Narrow" w:cs="Calibri"/>
          <w:szCs w:val="24"/>
        </w:rPr>
        <w:t>,</w:t>
      </w:r>
    </w:p>
    <w:p w:rsidR="0004664D" w:rsidRPr="00C1019B" w:rsidRDefault="006B3CC6" w:rsidP="006B3CC6">
      <w:pPr>
        <w:pStyle w:val="CTL"/>
        <w:numPr>
          <w:ilvl w:val="0"/>
          <w:numId w:val="0"/>
        </w:numPr>
        <w:spacing w:after="240" w:line="24" w:lineRule="atLeast"/>
        <w:ind w:left="993" w:hanging="426"/>
        <w:contextualSpacing/>
        <w:rPr>
          <w:rFonts w:ascii="Arial Narrow" w:hAnsi="Arial Narrow"/>
          <w:szCs w:val="24"/>
        </w:rPr>
      </w:pPr>
      <w:r>
        <w:rPr>
          <w:rFonts w:ascii="Arial Narrow" w:hAnsi="Arial Narrow" w:cs="Calibri"/>
          <w:szCs w:val="24"/>
        </w:rPr>
        <w:t>2</w:t>
      </w:r>
      <w:r w:rsidR="0004664D" w:rsidRPr="00E867B9">
        <w:rPr>
          <w:rFonts w:ascii="Arial Narrow" w:hAnsi="Arial Narrow" w:cs="Calibri"/>
          <w:szCs w:val="24"/>
        </w:rPr>
        <w:t>. člen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4. vedúci orgánu štátnej správy s celoslovenskou pôsobnosťou,</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5. sudca Ústavného súdu Slovenskej republiky alebo sudca,</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7. verejný ochranca práv,</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9. štátny tajomník,</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10. generálny tajomník služobného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11. prednosta okresného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 xml:space="preserve">12. primátor hlavného mesta Slovenskej republiky Bratislavy, primátor krajského mesta alebo </w:t>
      </w:r>
      <w:r w:rsidRPr="00E867B9">
        <w:rPr>
          <w:rFonts w:ascii="Arial Narrow" w:hAnsi="Arial Narrow" w:cs="Calibri"/>
          <w:szCs w:val="24"/>
        </w:rPr>
        <w:lastRenderedPageBreak/>
        <w:t>primátor okresného mesta, alebo</w:t>
      </w:r>
    </w:p>
    <w:p w:rsidR="0004664D" w:rsidRPr="00560622"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13. p</w:t>
      </w:r>
      <w:r w:rsidR="006B3CC6">
        <w:rPr>
          <w:rFonts w:ascii="Arial Narrow" w:hAnsi="Arial Narrow" w:cs="Calibri"/>
          <w:szCs w:val="24"/>
        </w:rPr>
        <w:t xml:space="preserve">redseda vyššieho územného celku.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FC2417" w:rsidP="00D43B58">
      <w:pPr>
        <w:pStyle w:val="CTL"/>
        <w:numPr>
          <w:ilvl w:val="1"/>
          <w:numId w:val="14"/>
        </w:numPr>
        <w:spacing w:after="60" w:line="24" w:lineRule="atLeast"/>
        <w:ind w:left="360"/>
        <w:rPr>
          <w:rFonts w:ascii="Arial Narrow" w:hAnsi="Arial Narrow"/>
          <w:szCs w:val="24"/>
        </w:rPr>
      </w:pPr>
      <w:r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3A4AC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887BC6">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3A4AC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 xml:space="preserve">Záručná doba a zodpovednosť za </w:t>
      </w:r>
      <w:proofErr w:type="spellStart"/>
      <w:r w:rsidRPr="00560622">
        <w:rPr>
          <w:rFonts w:ascii="Arial Narrow" w:hAnsi="Arial Narrow"/>
          <w:sz w:val="24"/>
          <w:szCs w:val="24"/>
        </w:rPr>
        <w:t>vady</w:t>
      </w:r>
      <w:proofErr w:type="spellEnd"/>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Pr="00D43B58" w:rsidRDefault="00887BC6"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Pr>
          <w:rFonts w:ascii="Arial Narrow" w:hAnsi="Arial Narrow"/>
          <w:szCs w:val="24"/>
        </w:rPr>
        <w:t xml:space="preserve"> </w:t>
      </w:r>
      <w:r w:rsidR="00D43B58">
        <w:rPr>
          <w:rFonts w:ascii="Arial Narrow" w:hAnsi="Arial Narrow"/>
          <w:szCs w:val="24"/>
        </w:rPr>
        <w:t xml:space="preserve">24 mesiacov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p>
    <w:p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w:t>
      </w:r>
      <w:proofErr w:type="spellStart"/>
      <w:r w:rsidR="00FC2417" w:rsidRPr="00D43B58">
        <w:rPr>
          <w:rFonts w:ascii="Arial Narrow" w:hAnsi="Arial Narrow"/>
          <w:szCs w:val="24"/>
        </w:rPr>
        <w:t>vada</w:t>
      </w:r>
      <w:proofErr w:type="spellEnd"/>
      <w:r w:rsidR="00FC2417" w:rsidRPr="00D43B58">
        <w:rPr>
          <w:rFonts w:ascii="Arial Narrow" w:hAnsi="Arial Narrow"/>
          <w:szCs w:val="24"/>
        </w:rPr>
        <w:t xml:space="preserve">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w:t>
      </w:r>
      <w:proofErr w:type="spellStart"/>
      <w:r w:rsidRPr="00560622">
        <w:rPr>
          <w:rFonts w:ascii="Arial Narrow" w:hAnsi="Arial Narrow" w:cs="Calibri"/>
          <w:szCs w:val="24"/>
        </w:rPr>
        <w:t>vád</w:t>
      </w:r>
      <w:proofErr w:type="spellEnd"/>
      <w:r w:rsidRPr="00560622">
        <w:rPr>
          <w:rFonts w:ascii="Arial Narrow" w:hAnsi="Arial Narrow" w:cs="Calibri"/>
          <w:szCs w:val="24"/>
        </w:rPr>
        <w:t xml:space="preserve"> a </w:t>
      </w:r>
      <w:r w:rsidR="00BF0AE1" w:rsidRPr="00560622">
        <w:rPr>
          <w:rFonts w:ascii="Arial Narrow" w:hAnsi="Arial Narrow" w:cs="Calibri"/>
          <w:szCs w:val="24"/>
        </w:rPr>
        <w:t>p</w:t>
      </w:r>
      <w:r w:rsidRPr="00560622">
        <w:rPr>
          <w:rFonts w:ascii="Arial Narrow" w:hAnsi="Arial Narrow" w:cs="Calibri"/>
          <w:szCs w:val="24"/>
        </w:rPr>
        <w:t xml:space="preserve">redávajúci povinnosť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odstrániť na svoje náklady</w:t>
      </w:r>
      <w:r w:rsidR="003A4AC2">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887BC6">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proofErr w:type="spellStart"/>
      <w:r w:rsidR="00BF0AE1" w:rsidRPr="00560622">
        <w:rPr>
          <w:rFonts w:ascii="Arial Narrow" w:hAnsi="Arial Narrow" w:cs="Calibri"/>
          <w:szCs w:val="24"/>
        </w:rPr>
        <w:t>vád</w:t>
      </w:r>
      <w:proofErr w:type="spellEnd"/>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w:t>
      </w:r>
      <w:proofErr w:type="spellStart"/>
      <w:r w:rsidRPr="00560622">
        <w:rPr>
          <w:rFonts w:ascii="Arial Narrow" w:hAnsi="Arial Narrow" w:cs="Calibri"/>
          <w:szCs w:val="24"/>
        </w:rPr>
        <w:t>vád</w:t>
      </w:r>
      <w:proofErr w:type="spellEnd"/>
      <w:r w:rsidRPr="00560622">
        <w:rPr>
          <w:rFonts w:ascii="Arial Narrow" w:hAnsi="Arial Narrow" w:cs="Calibri"/>
          <w:szCs w:val="24"/>
        </w:rPr>
        <w:t>.</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w:t>
      </w:r>
      <w:proofErr w:type="spellStart"/>
      <w:r w:rsidR="008C46BC" w:rsidRPr="00560622">
        <w:rPr>
          <w:rFonts w:ascii="Arial Narrow" w:hAnsi="Arial Narrow" w:cs="Calibri"/>
          <w:szCs w:val="24"/>
        </w:rPr>
        <w:t>vadu</w:t>
      </w:r>
      <w:proofErr w:type="spellEnd"/>
      <w:r w:rsidR="008C46BC" w:rsidRPr="00560622">
        <w:rPr>
          <w:rFonts w:ascii="Arial Narrow" w:hAnsi="Arial Narrow" w:cs="Calibri"/>
          <w:szCs w:val="24"/>
        </w:rPr>
        <w:t xml:space="preserve">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887BC6"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3A4AC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3A4AC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341C2E" w:rsidRDefault="00F0274A" w:rsidP="00341C2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887BC6">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rsidR="00642739" w:rsidRPr="00341C2E" w:rsidRDefault="00642739" w:rsidP="00341C2E">
      <w:pPr>
        <w:pStyle w:val="CTL"/>
        <w:numPr>
          <w:ilvl w:val="1"/>
          <w:numId w:val="5"/>
        </w:numPr>
        <w:spacing w:after="60" w:line="24" w:lineRule="atLeast"/>
        <w:ind w:left="567" w:hanging="567"/>
        <w:rPr>
          <w:rFonts w:ascii="Arial Narrow" w:hAnsi="Arial Narrow" w:cs="Calibri"/>
          <w:szCs w:val="24"/>
        </w:rPr>
      </w:pPr>
      <w:r w:rsidRPr="00341C2E">
        <w:rPr>
          <w:rFonts w:ascii="Arial Narrow" w:hAnsi="Arial Narrow" w:cs="Calibri"/>
          <w:szCs w:val="24"/>
        </w:rPr>
        <w:t>Predávajúci je povinný strpieť výkon kontroly/auditu/overovania súvisiaceho s plnením tejto zmluvy a poskytnúť všetku potrebnú súčinnosť pri výkone kontroly/auditu/overovania oprávneným osobám, ktorými sú najmä :</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Zodpovedného orgánu,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Orgánu auditu,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Najvyššieho kontrolného úradu Slovenskej republiky,</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Úradu pre verejné obstarávanie,</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 xml:space="preserve">riadne splnomocnení zástupcovia Európskej komisie, Európskeho úradu na boj proti                 podvodov a Európskeho dvora </w:t>
      </w:r>
      <w:proofErr w:type="spellStart"/>
      <w:r>
        <w:rPr>
          <w:rFonts w:ascii="Arial Narrow" w:hAnsi="Arial Narrow" w:cs="Calibri"/>
          <w:szCs w:val="24"/>
        </w:rPr>
        <w:t>auditorov</w:t>
      </w:r>
      <w:proofErr w:type="spellEnd"/>
      <w:r>
        <w:rPr>
          <w:rFonts w:ascii="Arial Narrow" w:hAnsi="Arial Narrow" w:cs="Calibri"/>
          <w:szCs w:val="24"/>
        </w:rPr>
        <w:t>,</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osoby prizvané kontrolnými orgánmi uvedenými v písm. a) až e) tohto bodu v súlade s príslušnými právnymi predpismi SR a ES.</w:t>
      </w:r>
    </w:p>
    <w:p w:rsidR="006B3CC6" w:rsidRDefault="006B3CC6" w:rsidP="00154C42">
      <w:pPr>
        <w:pStyle w:val="CTLhead"/>
        <w:spacing w:line="24" w:lineRule="atLeast"/>
        <w:rPr>
          <w:rFonts w:ascii="Arial Narrow" w:hAnsi="Arial Narrow" w:cs="Calibri"/>
          <w:sz w:val="24"/>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3A4AC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 xml:space="preserve">redávajúceho s odstránením </w:t>
      </w:r>
      <w:proofErr w:type="spellStart"/>
      <w:r w:rsidRPr="00560622">
        <w:rPr>
          <w:rFonts w:ascii="Arial Narrow" w:hAnsi="Arial Narrow" w:cs="Calibri"/>
          <w:sz w:val="24"/>
          <w:szCs w:val="24"/>
        </w:rPr>
        <w:t>vady</w:t>
      </w:r>
      <w:proofErr w:type="spellEnd"/>
      <w:r w:rsidRPr="00560622">
        <w:rPr>
          <w:rFonts w:ascii="Arial Narrow" w:hAnsi="Arial Narrow" w:cs="Calibri"/>
          <w:sz w:val="24"/>
          <w:szCs w:val="24"/>
        </w:rPr>
        <w:t xml:space="preserve"> predmetu zmluvy</w:t>
      </w:r>
      <w:r w:rsidR="00887BC6">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887BC6">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887BC6">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04664D" w:rsidRPr="006B3CC6" w:rsidRDefault="0004664D" w:rsidP="006B3CC6">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963BA">
        <w:rPr>
          <w:rFonts w:ascii="Arial Narrow" w:hAnsi="Arial Narrow" w:cs="Calibri"/>
          <w:sz w:val="24"/>
          <w:szCs w:val="24"/>
        </w:rPr>
        <w:t>v prípade nepravdivosti vyhlásenia Predávaj</w:t>
      </w:r>
      <w:r w:rsidR="006B3CC6">
        <w:rPr>
          <w:rFonts w:ascii="Arial Narrow" w:hAnsi="Arial Narrow" w:cs="Calibri"/>
          <w:sz w:val="24"/>
          <w:szCs w:val="24"/>
        </w:rPr>
        <w:t xml:space="preserve">úceho, ktoré je uvedené v bode </w:t>
      </w:r>
      <w:r w:rsidR="006B3CC6">
        <w:rPr>
          <w:rFonts w:ascii="Arial Narrow" w:hAnsi="Arial Narrow" w:cs="Calibri"/>
          <w:sz w:val="24"/>
          <w:szCs w:val="24"/>
          <w:lang w:val="sk-SK"/>
        </w:rPr>
        <w:t>4</w:t>
      </w:r>
      <w:r w:rsidRPr="00A963BA">
        <w:rPr>
          <w:rFonts w:ascii="Arial Narrow" w:hAnsi="Arial Narrow" w:cs="Calibri"/>
          <w:sz w:val="24"/>
          <w:szCs w:val="24"/>
        </w:rPr>
        <w:t>.17. tejto zmluvy, je Predávajúci povinný zaplatiť Kupujúcemu zmluvnú pokutu vo výške 30 000,-EUR</w:t>
      </w: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3A4AC2">
        <w:rPr>
          <w:rFonts w:ascii="Arial Narrow" w:hAnsi="Arial Narrow" w:cs="Calibri"/>
          <w:sz w:val="24"/>
          <w:szCs w:val="24"/>
        </w:rPr>
        <w:t> </w:t>
      </w:r>
      <w:r w:rsidR="00E04073" w:rsidRPr="00560622">
        <w:rPr>
          <w:rFonts w:ascii="Arial Narrow" w:hAnsi="Arial Narrow" w:cs="Calibri"/>
          <w:sz w:val="24"/>
          <w:szCs w:val="24"/>
        </w:rPr>
        <w:t>záhlaví</w:t>
      </w:r>
      <w:r w:rsidR="003A4AC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1F49E2" w:rsidRPr="006B3CC6"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6B3CC6" w:rsidRPr="00560622" w:rsidRDefault="006B3CC6" w:rsidP="006B3CC6">
      <w:pPr>
        <w:pStyle w:val="Odsekzoznamu"/>
        <w:tabs>
          <w:tab w:val="clear" w:pos="2160"/>
          <w:tab w:val="clear" w:pos="2880"/>
          <w:tab w:val="clear" w:pos="4500"/>
        </w:tabs>
        <w:spacing w:after="240" w:line="24" w:lineRule="atLeast"/>
        <w:ind w:left="567"/>
        <w:jc w:val="both"/>
        <w:rPr>
          <w:rFonts w:ascii="Arial Narrow" w:hAnsi="Arial Narrow" w:cs="Calibri"/>
          <w:sz w:val="24"/>
          <w:szCs w:val="24"/>
        </w:rPr>
      </w:pP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lastRenderedPageBreak/>
        <w:t>doručené (i) osobne, (</w:t>
      </w:r>
      <w:proofErr w:type="spellStart"/>
      <w:r w:rsidRPr="00560622">
        <w:rPr>
          <w:rFonts w:ascii="Arial Narrow" w:hAnsi="Arial Narrow"/>
          <w:sz w:val="24"/>
          <w:szCs w:val="24"/>
        </w:rPr>
        <w:t>ii</w:t>
      </w:r>
      <w:proofErr w:type="spellEnd"/>
      <w:r w:rsidRPr="00560622">
        <w:rPr>
          <w:rFonts w:ascii="Arial Narrow" w:hAnsi="Arial Narrow"/>
          <w:sz w:val="24"/>
          <w:szCs w:val="24"/>
        </w:rPr>
        <w:t>) poštou prvou triedou s uhradeným poštovným, (</w:t>
      </w:r>
      <w:proofErr w:type="spellStart"/>
      <w:r w:rsidRPr="00560622">
        <w:rPr>
          <w:rFonts w:ascii="Arial Narrow" w:hAnsi="Arial Narrow"/>
          <w:sz w:val="24"/>
          <w:szCs w:val="24"/>
        </w:rPr>
        <w:t>iii</w:t>
      </w:r>
      <w:proofErr w:type="spellEnd"/>
      <w:r w:rsidRPr="00560622">
        <w:rPr>
          <w:rFonts w:ascii="Arial Narrow" w:hAnsi="Arial Narrow"/>
          <w:sz w:val="24"/>
          <w:szCs w:val="24"/>
        </w:rPr>
        <w:t>) kuriérom prostredníctvom kuriérskej spoločnosti alebo (</w:t>
      </w:r>
      <w:proofErr w:type="spellStart"/>
      <w:r w:rsidRPr="00560622">
        <w:rPr>
          <w:rFonts w:ascii="Arial Narrow" w:hAnsi="Arial Narrow"/>
          <w:sz w:val="24"/>
          <w:szCs w:val="24"/>
        </w:rPr>
        <w:t>iv</w:t>
      </w:r>
      <w:proofErr w:type="spellEnd"/>
      <w:r w:rsidRPr="00560622">
        <w:rPr>
          <w:rFonts w:ascii="Arial Narrow" w:hAnsi="Arial Narrow"/>
          <w:sz w:val="24"/>
          <w:szCs w:val="24"/>
        </w:rPr>
        <w:t>) elektronickou poštou na adresy, ktoré budú oznámené v súlade s týmto článkom zmluvy.</w:t>
      </w:r>
    </w:p>
    <w:p w:rsidR="00FC2417" w:rsidRPr="00DE038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Oznámenie poskytované Kupujúcemu bude zaslané na adresu uvedenú nižšie alebo inej osobe alebo na inú adresu, ktorú Kupujúci priebežne písomne oznámi Predávajúcemu v súlade s týmto </w:t>
      </w:r>
      <w:r w:rsidRPr="00DE038B">
        <w:rPr>
          <w:rFonts w:ascii="Arial Narrow" w:hAnsi="Arial Narrow"/>
          <w:sz w:val="24"/>
          <w:szCs w:val="24"/>
        </w:rPr>
        <w:t>článkom zmluvy:</w:t>
      </w:r>
    </w:p>
    <w:p w:rsidR="00FC2417" w:rsidRPr="00DE038B" w:rsidRDefault="00485F33" w:rsidP="006E6235">
      <w:pPr>
        <w:pStyle w:val="Bezriadkovania1"/>
        <w:tabs>
          <w:tab w:val="left" w:pos="567"/>
        </w:tabs>
        <w:spacing w:after="60"/>
        <w:ind w:left="567"/>
        <w:rPr>
          <w:rFonts w:ascii="Arial Narrow" w:hAnsi="Arial Narrow"/>
          <w:i/>
          <w:sz w:val="24"/>
          <w:szCs w:val="24"/>
        </w:rPr>
      </w:pPr>
      <w:r w:rsidRPr="00DE038B">
        <w:rPr>
          <w:rFonts w:ascii="Arial Narrow" w:hAnsi="Arial Narrow"/>
          <w:i/>
          <w:sz w:val="24"/>
          <w:szCs w:val="24"/>
        </w:rPr>
        <w:t>Kupujúci</w:t>
      </w:r>
    </w:p>
    <w:p w:rsidR="00E1263A" w:rsidRPr="00DE038B" w:rsidRDefault="00E1263A" w:rsidP="00E1263A">
      <w:pPr>
        <w:pStyle w:val="Odsekzoznamu"/>
        <w:tabs>
          <w:tab w:val="left" w:pos="567"/>
        </w:tabs>
        <w:ind w:left="709" w:hanging="567"/>
        <w:jc w:val="both"/>
        <w:rPr>
          <w:rFonts w:ascii="Arial Narrow" w:hAnsi="Arial Narrow"/>
          <w:bCs/>
          <w:sz w:val="24"/>
          <w:szCs w:val="24"/>
        </w:rPr>
      </w:pPr>
      <w:r w:rsidRPr="00DE038B">
        <w:rPr>
          <w:rFonts w:ascii="Arial Narrow" w:hAnsi="Arial Narrow" w:cs="Arial"/>
          <w:sz w:val="24"/>
          <w:szCs w:val="24"/>
        </w:rPr>
        <w:tab/>
        <w:t>Ministerstvo vnútra Slovenskej republiky</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Pribinova 2</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 xml:space="preserve">812 72 Bratislava </w:t>
      </w:r>
    </w:p>
    <w:p w:rsidR="008C46BC" w:rsidRPr="00DE038B" w:rsidRDefault="00E1263A" w:rsidP="008C46BC">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8C46BC" w:rsidRPr="00DE038B">
        <w:rPr>
          <w:rFonts w:ascii="Arial Narrow" w:hAnsi="Arial Narrow"/>
          <w:sz w:val="24"/>
          <w:szCs w:val="24"/>
        </w:rPr>
        <w:t>k </w:t>
      </w:r>
      <w:proofErr w:type="spellStart"/>
      <w:r w:rsidR="008C46BC" w:rsidRPr="00DE038B">
        <w:rPr>
          <w:rFonts w:ascii="Arial Narrow" w:hAnsi="Arial Narrow"/>
          <w:sz w:val="24"/>
          <w:szCs w:val="24"/>
        </w:rPr>
        <w:t>rukám:xxxxxxxxxxxxxxxxxx</w:t>
      </w:r>
      <w:proofErr w:type="spellEnd"/>
      <w:r w:rsidR="008C46BC" w:rsidRPr="00DE038B">
        <w:rPr>
          <w:rFonts w:ascii="Arial Narrow" w:hAnsi="Arial Narrow"/>
          <w:sz w:val="24"/>
          <w:szCs w:val="24"/>
        </w:rPr>
        <w:tab/>
      </w:r>
      <w:r w:rsidR="008C46BC" w:rsidRPr="00DE038B">
        <w:rPr>
          <w:rFonts w:ascii="Arial Narrow" w:hAnsi="Arial Narrow"/>
          <w:sz w:val="24"/>
          <w:szCs w:val="24"/>
        </w:rPr>
        <w:tab/>
      </w:r>
    </w:p>
    <w:p w:rsidR="008C46BC" w:rsidRPr="00DE038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t xml:space="preserve">email: </w:t>
      </w:r>
      <w:proofErr w:type="spellStart"/>
      <w:r w:rsidRPr="00DE038B">
        <w:rPr>
          <w:rFonts w:ascii="Arial Narrow" w:hAnsi="Arial Narrow"/>
          <w:sz w:val="24"/>
          <w:szCs w:val="24"/>
        </w:rPr>
        <w:t>xxxxxxxxxxxxxxxxxxxxx</w:t>
      </w:r>
      <w:proofErr w:type="spellEnd"/>
    </w:p>
    <w:p w:rsidR="00FC2417" w:rsidRPr="00DE038B" w:rsidRDefault="00E352DC" w:rsidP="00E352DC">
      <w:pPr>
        <w:pStyle w:val="Bezriadkovania1"/>
        <w:ind w:left="567" w:hanging="567"/>
        <w:rPr>
          <w:rFonts w:ascii="Arial Narrow" w:hAnsi="Arial Narrow"/>
          <w:sz w:val="24"/>
          <w:szCs w:val="24"/>
        </w:rPr>
      </w:pPr>
      <w:r w:rsidRPr="00DE038B">
        <w:rPr>
          <w:rFonts w:ascii="Arial Narrow" w:hAnsi="Arial Narrow"/>
          <w:sz w:val="24"/>
          <w:szCs w:val="24"/>
        </w:rPr>
        <w:tab/>
      </w:r>
      <w:r w:rsidR="00FC2417" w:rsidRPr="00DE038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DE038B" w:rsidRDefault="00613A8C" w:rsidP="006E6235">
      <w:pPr>
        <w:pStyle w:val="Odsekzoznamu"/>
        <w:tabs>
          <w:tab w:val="left" w:pos="567"/>
        </w:tabs>
        <w:spacing w:after="60"/>
        <w:ind w:left="709" w:hanging="567"/>
        <w:jc w:val="both"/>
        <w:rPr>
          <w:rFonts w:ascii="Arial Narrow" w:hAnsi="Arial Narrow"/>
          <w:i/>
          <w:sz w:val="24"/>
          <w:szCs w:val="24"/>
        </w:rPr>
      </w:pPr>
      <w:r w:rsidRPr="00DE038B">
        <w:rPr>
          <w:rFonts w:ascii="Arial Narrow" w:hAnsi="Arial Narrow"/>
          <w:i/>
          <w:sz w:val="24"/>
          <w:szCs w:val="24"/>
          <w:lang w:eastAsia="en-GB"/>
        </w:rPr>
        <w:tab/>
      </w:r>
      <w:r w:rsidR="00FC2417" w:rsidRPr="00DE038B">
        <w:rPr>
          <w:rFonts w:ascii="Arial Narrow" w:hAnsi="Arial Narrow"/>
          <w:i/>
          <w:sz w:val="24"/>
          <w:szCs w:val="24"/>
          <w:lang w:eastAsia="en-GB"/>
        </w:rPr>
        <w:t xml:space="preserve">Predávajúci: </w:t>
      </w:r>
    </w:p>
    <w:p w:rsidR="00485F33" w:rsidRPr="00DE038B" w:rsidRDefault="00613A8C" w:rsidP="006E6235">
      <w:pPr>
        <w:pStyle w:val="Odsekzoznamu"/>
        <w:tabs>
          <w:tab w:val="left" w:pos="567"/>
        </w:tabs>
        <w:spacing w:after="60"/>
        <w:ind w:left="709" w:hanging="567"/>
        <w:jc w:val="both"/>
        <w:rPr>
          <w:rFonts w:ascii="Arial Narrow" w:hAnsi="Arial Narrow"/>
          <w:bCs/>
          <w:sz w:val="24"/>
          <w:szCs w:val="24"/>
        </w:rPr>
      </w:pPr>
      <w:r w:rsidRPr="00DE038B">
        <w:rPr>
          <w:rFonts w:ascii="Arial Narrow" w:hAnsi="Arial Narrow" w:cs="Arial"/>
          <w:sz w:val="24"/>
          <w:szCs w:val="24"/>
        </w:rPr>
        <w:tab/>
      </w:r>
      <w:proofErr w:type="spellStart"/>
      <w:r w:rsidR="00485F33" w:rsidRPr="00DE038B">
        <w:rPr>
          <w:rFonts w:ascii="Arial Narrow" w:hAnsi="Arial Narrow" w:cs="Arial"/>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k </w:t>
      </w:r>
      <w:proofErr w:type="spellStart"/>
      <w:r w:rsidR="00485F33" w:rsidRPr="00DE038B">
        <w:rPr>
          <w:rFonts w:ascii="Arial Narrow" w:hAnsi="Arial Narrow"/>
          <w:sz w:val="24"/>
          <w:szCs w:val="24"/>
        </w:rPr>
        <w:t>rukám:xxxxxxxxxxxxxxxxxx</w:t>
      </w:r>
      <w:proofErr w:type="spellEnd"/>
      <w:r w:rsidR="00485F33" w:rsidRPr="00DE038B">
        <w:rPr>
          <w:rFonts w:ascii="Arial Narrow" w:hAnsi="Arial Narrow"/>
          <w:sz w:val="24"/>
          <w:szCs w:val="24"/>
        </w:rPr>
        <w:tab/>
      </w:r>
      <w:r w:rsidR="00485F33" w:rsidRPr="00DE038B">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 xml:space="preserve">email: </w:t>
      </w:r>
      <w:proofErr w:type="spellStart"/>
      <w:r w:rsidR="00485F33" w:rsidRPr="00DE038B">
        <w:rPr>
          <w:rFonts w:ascii="Arial Narrow" w:hAnsi="Arial Narrow"/>
          <w:sz w:val="24"/>
          <w:szCs w:val="24"/>
        </w:rPr>
        <w:t>xxxxxxxxxxxxxxxxxxxxx</w:t>
      </w:r>
      <w:proofErr w:type="spellEnd"/>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3A4AC2">
        <w:rPr>
          <w:rFonts w:ascii="Arial Narrow" w:hAnsi="Arial Narrow"/>
          <w:sz w:val="24"/>
          <w:szCs w:val="24"/>
        </w:rPr>
        <w:t> </w:t>
      </w:r>
      <w:r w:rsidRPr="00560622">
        <w:rPr>
          <w:rFonts w:ascii="Arial Narrow" w:hAnsi="Arial Narrow"/>
          <w:sz w:val="24"/>
          <w:szCs w:val="24"/>
        </w:rPr>
        <w:t>prípade</w:t>
      </w:r>
      <w:r w:rsidR="003A4AC2">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3A4AC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lastRenderedPageBreak/>
        <w:t xml:space="preserve">Táto zmluva nadobúda platnosť dňom jej podpisu obidvoma zmluvnými stranami. </w:t>
      </w:r>
      <w:r w:rsidRPr="00560622">
        <w:rPr>
          <w:rFonts w:ascii="Arial Narrow" w:hAnsi="Arial Narrow" w:cs="Arial"/>
          <w:sz w:val="24"/>
          <w:szCs w:val="24"/>
        </w:rPr>
        <w:t>Táto zmluva nadobudne účinnosť až po schválení verejného obstarávania v rámci kontroly, t.j. doručením správy z kontroly VO prijímateľovi a </w:t>
      </w:r>
      <w:r w:rsidRPr="00560622">
        <w:rPr>
          <w:rFonts w:ascii="Arial Narrow" w:hAnsi="Arial Narrow"/>
          <w:sz w:val="24"/>
          <w:szCs w:val="24"/>
        </w:rPr>
        <w:t>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AF" w:rsidRDefault="009B37AF" w:rsidP="006E6235">
      <w:r>
        <w:separator/>
      </w:r>
    </w:p>
  </w:endnote>
  <w:endnote w:type="continuationSeparator" w:id="0">
    <w:p w:rsidR="009B37AF" w:rsidRDefault="009B37A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rsidR="005C47C6" w:rsidRDefault="00D83C23" w:rsidP="005C47C6">
            <w:pPr>
              <w:pStyle w:val="Pta"/>
              <w:jc w:val="right"/>
            </w:pPr>
            <w:r w:rsidRPr="005C47C6">
              <w:rPr>
                <w:bCs/>
                <w:sz w:val="24"/>
                <w:szCs w:val="24"/>
              </w:rPr>
              <w:fldChar w:fldCharType="begin"/>
            </w:r>
            <w:r w:rsidR="005C47C6" w:rsidRPr="005C47C6">
              <w:rPr>
                <w:bCs/>
              </w:rPr>
              <w:instrText>PAGE</w:instrText>
            </w:r>
            <w:r w:rsidRPr="005C47C6">
              <w:rPr>
                <w:bCs/>
                <w:sz w:val="24"/>
                <w:szCs w:val="24"/>
              </w:rPr>
              <w:fldChar w:fldCharType="separate"/>
            </w:r>
            <w:r w:rsidR="006B1718">
              <w:rPr>
                <w:bCs/>
                <w:noProof/>
              </w:rPr>
              <w:t>2</w:t>
            </w:r>
            <w:r w:rsidRPr="005C47C6">
              <w:rPr>
                <w:bCs/>
                <w:sz w:val="24"/>
                <w:szCs w:val="24"/>
              </w:rPr>
              <w:fldChar w:fldCharType="end"/>
            </w:r>
            <w:r w:rsidR="005C47C6" w:rsidRPr="005C47C6">
              <w:t xml:space="preserve"> / </w:t>
            </w:r>
            <w:r w:rsidRPr="005C47C6">
              <w:rPr>
                <w:bCs/>
                <w:sz w:val="24"/>
                <w:szCs w:val="24"/>
              </w:rPr>
              <w:fldChar w:fldCharType="begin"/>
            </w:r>
            <w:r w:rsidR="005C47C6" w:rsidRPr="005C47C6">
              <w:rPr>
                <w:bCs/>
              </w:rPr>
              <w:instrText>NUMPAGES</w:instrText>
            </w:r>
            <w:r w:rsidRPr="005C47C6">
              <w:rPr>
                <w:bCs/>
                <w:sz w:val="24"/>
                <w:szCs w:val="24"/>
              </w:rPr>
              <w:fldChar w:fldCharType="separate"/>
            </w:r>
            <w:r w:rsidR="006B1718">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AF" w:rsidRDefault="009B37AF" w:rsidP="006E6235">
      <w:r>
        <w:separator/>
      </w:r>
    </w:p>
  </w:footnote>
  <w:footnote w:type="continuationSeparator" w:id="0">
    <w:p w:rsidR="009B37AF" w:rsidRDefault="009B37AF"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7"/>
  </w:num>
  <w:num w:numId="6">
    <w:abstractNumId w:val="5"/>
  </w:num>
  <w:num w:numId="7">
    <w:abstractNumId w:val="15"/>
  </w:num>
  <w:num w:numId="8">
    <w:abstractNumId w:val="21"/>
  </w:num>
  <w:num w:numId="9">
    <w:abstractNumId w:val="24"/>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3"/>
  </w:num>
  <w:num w:numId="26">
    <w:abstractNumId w:val="4"/>
  </w:num>
  <w:num w:numId="27">
    <w:abstractNumId w:val="25"/>
  </w:num>
  <w:num w:numId="28">
    <w:abstractNumId w:val="28"/>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AD" w15:userId="S-1-5-21-352021142-1903484755-3030794557-20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4664D"/>
    <w:rsid w:val="00065905"/>
    <w:rsid w:val="000815C8"/>
    <w:rsid w:val="000877AE"/>
    <w:rsid w:val="00094AC0"/>
    <w:rsid w:val="000A644D"/>
    <w:rsid w:val="000B3AA8"/>
    <w:rsid w:val="000D28A9"/>
    <w:rsid w:val="000E2F2D"/>
    <w:rsid w:val="000E63B6"/>
    <w:rsid w:val="000F28BD"/>
    <w:rsid w:val="001005FA"/>
    <w:rsid w:val="00100DF0"/>
    <w:rsid w:val="001035E7"/>
    <w:rsid w:val="00110388"/>
    <w:rsid w:val="00144AD6"/>
    <w:rsid w:val="00153E4C"/>
    <w:rsid w:val="00154C42"/>
    <w:rsid w:val="00187522"/>
    <w:rsid w:val="001A1BAB"/>
    <w:rsid w:val="001A1D1B"/>
    <w:rsid w:val="001B01D3"/>
    <w:rsid w:val="001B5406"/>
    <w:rsid w:val="001F49E2"/>
    <w:rsid w:val="00247C1A"/>
    <w:rsid w:val="002761BF"/>
    <w:rsid w:val="00285C9D"/>
    <w:rsid w:val="00287E51"/>
    <w:rsid w:val="002A05ED"/>
    <w:rsid w:val="002B3C9A"/>
    <w:rsid w:val="002C3622"/>
    <w:rsid w:val="002D5792"/>
    <w:rsid w:val="002D73F8"/>
    <w:rsid w:val="002E2C9D"/>
    <w:rsid w:val="002F6AC2"/>
    <w:rsid w:val="003035EA"/>
    <w:rsid w:val="003148C1"/>
    <w:rsid w:val="0032107B"/>
    <w:rsid w:val="00341C2E"/>
    <w:rsid w:val="0034246B"/>
    <w:rsid w:val="00363E6B"/>
    <w:rsid w:val="003664B3"/>
    <w:rsid w:val="00386FA2"/>
    <w:rsid w:val="003A0BED"/>
    <w:rsid w:val="003A4AC2"/>
    <w:rsid w:val="003B06AC"/>
    <w:rsid w:val="003B3DFB"/>
    <w:rsid w:val="003C0B0D"/>
    <w:rsid w:val="003D1B32"/>
    <w:rsid w:val="003D2F55"/>
    <w:rsid w:val="003D7909"/>
    <w:rsid w:val="003E798A"/>
    <w:rsid w:val="004003BF"/>
    <w:rsid w:val="00404493"/>
    <w:rsid w:val="004051D1"/>
    <w:rsid w:val="004135CF"/>
    <w:rsid w:val="0042192C"/>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0411E"/>
    <w:rsid w:val="00504DE7"/>
    <w:rsid w:val="00513182"/>
    <w:rsid w:val="0052010E"/>
    <w:rsid w:val="00532C5D"/>
    <w:rsid w:val="0054359B"/>
    <w:rsid w:val="00543852"/>
    <w:rsid w:val="00545155"/>
    <w:rsid w:val="00554EC0"/>
    <w:rsid w:val="00560622"/>
    <w:rsid w:val="00565125"/>
    <w:rsid w:val="00582DCF"/>
    <w:rsid w:val="0059331A"/>
    <w:rsid w:val="005C47AE"/>
    <w:rsid w:val="005C47C6"/>
    <w:rsid w:val="005D1538"/>
    <w:rsid w:val="005D55E8"/>
    <w:rsid w:val="005F0DEE"/>
    <w:rsid w:val="006037E3"/>
    <w:rsid w:val="006056F6"/>
    <w:rsid w:val="00613A8C"/>
    <w:rsid w:val="006208A8"/>
    <w:rsid w:val="00621B8E"/>
    <w:rsid w:val="00626B24"/>
    <w:rsid w:val="00632AFB"/>
    <w:rsid w:val="0064184D"/>
    <w:rsid w:val="00641960"/>
    <w:rsid w:val="00642739"/>
    <w:rsid w:val="006459FE"/>
    <w:rsid w:val="006710D7"/>
    <w:rsid w:val="00675C28"/>
    <w:rsid w:val="00680DCA"/>
    <w:rsid w:val="00693E11"/>
    <w:rsid w:val="006B1718"/>
    <w:rsid w:val="006B19B5"/>
    <w:rsid w:val="006B3CC6"/>
    <w:rsid w:val="006C25A5"/>
    <w:rsid w:val="006C30F1"/>
    <w:rsid w:val="006E331A"/>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66950"/>
    <w:rsid w:val="008808C4"/>
    <w:rsid w:val="00887BC6"/>
    <w:rsid w:val="008911FF"/>
    <w:rsid w:val="008A2A3D"/>
    <w:rsid w:val="008A3759"/>
    <w:rsid w:val="008B250C"/>
    <w:rsid w:val="008C420E"/>
    <w:rsid w:val="008C46BC"/>
    <w:rsid w:val="008C78CC"/>
    <w:rsid w:val="008E1AA4"/>
    <w:rsid w:val="008E5017"/>
    <w:rsid w:val="0091435F"/>
    <w:rsid w:val="0092116C"/>
    <w:rsid w:val="00930F80"/>
    <w:rsid w:val="00945EA5"/>
    <w:rsid w:val="00964845"/>
    <w:rsid w:val="00970C2D"/>
    <w:rsid w:val="00973437"/>
    <w:rsid w:val="009B0246"/>
    <w:rsid w:val="009B2474"/>
    <w:rsid w:val="009B37AF"/>
    <w:rsid w:val="009D4970"/>
    <w:rsid w:val="009E5D1A"/>
    <w:rsid w:val="00A04F38"/>
    <w:rsid w:val="00A23C81"/>
    <w:rsid w:val="00A324FA"/>
    <w:rsid w:val="00A350F5"/>
    <w:rsid w:val="00A500AC"/>
    <w:rsid w:val="00A82F42"/>
    <w:rsid w:val="00AA5611"/>
    <w:rsid w:val="00AA631D"/>
    <w:rsid w:val="00AC37B3"/>
    <w:rsid w:val="00AC67C2"/>
    <w:rsid w:val="00AD44DF"/>
    <w:rsid w:val="00B104DE"/>
    <w:rsid w:val="00B5627F"/>
    <w:rsid w:val="00B60143"/>
    <w:rsid w:val="00B96A6A"/>
    <w:rsid w:val="00BA2865"/>
    <w:rsid w:val="00BB427D"/>
    <w:rsid w:val="00BE2279"/>
    <w:rsid w:val="00BF0AE1"/>
    <w:rsid w:val="00C1403F"/>
    <w:rsid w:val="00C14B09"/>
    <w:rsid w:val="00C61439"/>
    <w:rsid w:val="00C84572"/>
    <w:rsid w:val="00C85957"/>
    <w:rsid w:val="00CA1ED4"/>
    <w:rsid w:val="00CC2904"/>
    <w:rsid w:val="00CE13E9"/>
    <w:rsid w:val="00D0046D"/>
    <w:rsid w:val="00D43B58"/>
    <w:rsid w:val="00D5473D"/>
    <w:rsid w:val="00D705FC"/>
    <w:rsid w:val="00D73D13"/>
    <w:rsid w:val="00D83C23"/>
    <w:rsid w:val="00D92443"/>
    <w:rsid w:val="00DA05EA"/>
    <w:rsid w:val="00DA58A1"/>
    <w:rsid w:val="00DA7BC4"/>
    <w:rsid w:val="00DB27EC"/>
    <w:rsid w:val="00DB4DE5"/>
    <w:rsid w:val="00DB4E19"/>
    <w:rsid w:val="00DE038B"/>
    <w:rsid w:val="00DE521C"/>
    <w:rsid w:val="00DE6451"/>
    <w:rsid w:val="00E04073"/>
    <w:rsid w:val="00E05266"/>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8870952">
      <w:bodyDiv w:val="1"/>
      <w:marLeft w:val="0"/>
      <w:marRight w:val="0"/>
      <w:marTop w:val="0"/>
      <w:marBottom w:val="0"/>
      <w:divBdr>
        <w:top w:val="none" w:sz="0" w:space="0" w:color="auto"/>
        <w:left w:val="none" w:sz="0" w:space="0" w:color="auto"/>
        <w:bottom w:val="none" w:sz="0" w:space="0" w:color="auto"/>
        <w:right w:val="none" w:sz="0" w:space="0" w:color="auto"/>
      </w:divBdr>
    </w:div>
    <w:div w:id="147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4CA8-F65B-4848-B08F-2417D4C6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3111</Words>
  <Characters>17735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8</cp:revision>
  <cp:lastPrinted>2020-09-23T13:30:00Z</cp:lastPrinted>
  <dcterms:created xsi:type="dcterms:W3CDTF">2022-06-15T08:33:00Z</dcterms:created>
  <dcterms:modified xsi:type="dcterms:W3CDTF">2022-07-26T08:39:00Z</dcterms:modified>
</cp:coreProperties>
</file>