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5E253D4"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05708F">
        <w:rPr>
          <w:rFonts w:ascii="Calibri" w:hAnsi="Calibri"/>
          <w:b/>
          <w:caps/>
          <w:szCs w:val="24"/>
        </w:rPr>
        <w:t>05-175/2022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Karlem Horčíkem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200A7A81" w:rsidR="002677D7" w:rsidRDefault="002677D7" w:rsidP="00A61671">
      <w:pPr>
        <w:rPr>
          <w:rStyle w:val="platne1"/>
          <w:rFonts w:ascii="Calibri" w:hAnsi="Calibri"/>
          <w:sz w:val="22"/>
          <w:szCs w:val="22"/>
        </w:rPr>
      </w:pPr>
    </w:p>
    <w:p w14:paraId="4D0A7517" w14:textId="77777777" w:rsidR="006F7643" w:rsidRPr="00CE72FD" w:rsidRDefault="006F7643"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4B2C2ACF" w14:textId="42B80A9F" w:rsidR="00823470" w:rsidRPr="00B339D9" w:rsidRDefault="00A513AF" w:rsidP="00B339D9">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své nebezpečí, řádně a včas na základě jednotlivých Dílčích smluv, uzavřených mezi Objednatelem a Zhotovitelem postupem předvídaným v čl. II této Rámcové smlouvy, jednotlivá Díla spočívající v provedení </w:t>
      </w:r>
      <w:r w:rsidR="001320C6">
        <w:rPr>
          <w:rFonts w:ascii="Calibri" w:hAnsi="Calibri"/>
          <w:sz w:val="22"/>
          <w:szCs w:val="22"/>
        </w:rPr>
        <w:t xml:space="preserve">generální </w:t>
      </w:r>
      <w:r>
        <w:rPr>
          <w:rFonts w:ascii="Calibri" w:hAnsi="Calibri"/>
          <w:sz w:val="22"/>
          <w:szCs w:val="22"/>
        </w:rPr>
        <w:t xml:space="preserve">opravy převodovek </w:t>
      </w:r>
      <w:r w:rsidRPr="00A513AF">
        <w:rPr>
          <w:rFonts w:ascii="Calibri" w:hAnsi="Calibri"/>
          <w:sz w:val="22"/>
          <w:szCs w:val="22"/>
        </w:rPr>
        <w:t>Voith DIWA z vozidel ř. 814</w:t>
      </w:r>
      <w:r w:rsidR="00823470">
        <w:rPr>
          <w:rFonts w:ascii="Calibri" w:hAnsi="Calibri"/>
          <w:sz w:val="22"/>
          <w:szCs w:val="22"/>
        </w:rPr>
        <w:t xml:space="preserve"> </w:t>
      </w:r>
      <w:r>
        <w:rPr>
          <w:rFonts w:ascii="Calibri" w:hAnsi="Calibri"/>
          <w:sz w:val="22"/>
          <w:szCs w:val="22"/>
        </w:rPr>
        <w:t xml:space="preserve">(dále </w:t>
      </w:r>
      <w:r w:rsidR="00AC310B">
        <w:rPr>
          <w:rFonts w:ascii="Calibri" w:hAnsi="Calibri"/>
          <w:sz w:val="22"/>
          <w:szCs w:val="22"/>
        </w:rPr>
        <w:t>též jako „</w:t>
      </w:r>
      <w:r w:rsidR="00AC310B" w:rsidRPr="00AC310B">
        <w:rPr>
          <w:rFonts w:ascii="Calibri" w:hAnsi="Calibri"/>
          <w:b/>
          <w:bCs/>
          <w:i/>
          <w:iCs/>
          <w:sz w:val="22"/>
          <w:szCs w:val="22"/>
        </w:rPr>
        <w:t>Věc</w:t>
      </w:r>
      <w:r w:rsidR="00AC310B">
        <w:rPr>
          <w:rFonts w:ascii="Calibri" w:hAnsi="Calibri"/>
          <w:sz w:val="22"/>
          <w:szCs w:val="22"/>
        </w:rPr>
        <w:t>“ nebo</w:t>
      </w:r>
      <w:r>
        <w:rPr>
          <w:rFonts w:ascii="Calibri" w:hAnsi="Calibri"/>
          <w:sz w:val="22"/>
          <w:szCs w:val="22"/>
        </w:rPr>
        <w:t xml:space="preserve"> „</w:t>
      </w:r>
      <w:r>
        <w:rPr>
          <w:rFonts w:ascii="Calibri" w:hAnsi="Calibri"/>
          <w:b/>
          <w:bCs/>
          <w:i/>
          <w:iCs/>
          <w:sz w:val="22"/>
          <w:szCs w:val="22"/>
        </w:rPr>
        <w:t>Dílo</w:t>
      </w:r>
      <w:r>
        <w:rPr>
          <w:rFonts w:ascii="Calibri" w:hAnsi="Calibri"/>
          <w:sz w:val="22"/>
          <w:szCs w:val="22"/>
        </w:rPr>
        <w:t>“)</w:t>
      </w:r>
      <w:r w:rsidR="00306120">
        <w:rPr>
          <w:rFonts w:ascii="Calibri" w:hAnsi="Calibri"/>
          <w:sz w:val="22"/>
          <w:szCs w:val="22"/>
        </w:rPr>
        <w:t xml:space="preserve"> a zavazuje se převést na Objednatele vlastnické právo k Dílu, přičemž Objednatel se zavazuje, že Dílo prosté jakýchkoliv vad a nedodělků převezme a zaplatí za něj cenu sjednanou v příslušné Dílčí smlouvě za podmínek této Rámcové smlouvy.</w:t>
      </w:r>
    </w:p>
    <w:p w14:paraId="4351DA20" w14:textId="7C3D5508" w:rsidR="004F3A11" w:rsidRDefault="004F3A11" w:rsidP="00E324FD">
      <w:pPr>
        <w:numPr>
          <w:ilvl w:val="0"/>
          <w:numId w:val="6"/>
        </w:numPr>
        <w:spacing w:before="60"/>
        <w:ind w:left="567" w:hanging="567"/>
        <w:jc w:val="both"/>
        <w:rPr>
          <w:rFonts w:ascii="Calibri" w:hAnsi="Calibri"/>
          <w:sz w:val="22"/>
          <w:szCs w:val="22"/>
        </w:rPr>
      </w:pPr>
      <w:r>
        <w:rPr>
          <w:rFonts w:ascii="Calibri" w:hAnsi="Calibri"/>
          <w:sz w:val="22"/>
          <w:szCs w:val="22"/>
        </w:rPr>
        <w:t xml:space="preserve">Smluvní strany se dohodly, že generální oprava převodovek </w:t>
      </w:r>
      <w:r w:rsidRPr="008D656D">
        <w:rPr>
          <w:rFonts w:ascii="Calibri" w:hAnsi="Calibri"/>
          <w:sz w:val="22"/>
          <w:szCs w:val="22"/>
        </w:rPr>
        <w:t>Voith DIWA z vozidel ř. 814</w:t>
      </w:r>
      <w:r>
        <w:rPr>
          <w:rFonts w:ascii="Calibri" w:hAnsi="Calibri"/>
          <w:sz w:val="22"/>
          <w:szCs w:val="22"/>
        </w:rPr>
        <w:t xml:space="preserve"> dle předchozího odstavce bude spočívat v:</w:t>
      </w:r>
    </w:p>
    <w:p w14:paraId="1C13C0A6" w14:textId="60B3E802" w:rsidR="004F3A11" w:rsidRDefault="00823470" w:rsidP="004F3A11">
      <w:pPr>
        <w:numPr>
          <w:ilvl w:val="1"/>
          <w:numId w:val="6"/>
        </w:numPr>
        <w:spacing w:before="60"/>
        <w:jc w:val="both"/>
        <w:rPr>
          <w:rFonts w:ascii="Calibri" w:hAnsi="Calibri"/>
          <w:sz w:val="22"/>
          <w:szCs w:val="22"/>
        </w:rPr>
      </w:pPr>
      <w:r>
        <w:rPr>
          <w:rFonts w:ascii="Calibri" w:hAnsi="Calibri"/>
          <w:sz w:val="22"/>
          <w:szCs w:val="22"/>
        </w:rPr>
        <w:t xml:space="preserve">základním rozsahu </w:t>
      </w:r>
      <w:r w:rsidR="004E5DFC">
        <w:rPr>
          <w:rFonts w:ascii="Calibri" w:hAnsi="Calibri"/>
          <w:sz w:val="22"/>
          <w:szCs w:val="22"/>
        </w:rPr>
        <w:t xml:space="preserve">generální </w:t>
      </w:r>
      <w:r>
        <w:rPr>
          <w:rFonts w:ascii="Calibri" w:hAnsi="Calibri"/>
          <w:sz w:val="22"/>
          <w:szCs w:val="22"/>
        </w:rPr>
        <w:t>oprav</w:t>
      </w:r>
      <w:r w:rsidR="004E5DFC">
        <w:rPr>
          <w:rFonts w:ascii="Calibri" w:hAnsi="Calibri"/>
          <w:sz w:val="22"/>
          <w:szCs w:val="22"/>
        </w:rPr>
        <w:t>y</w:t>
      </w:r>
      <w:r>
        <w:rPr>
          <w:rFonts w:ascii="Calibri" w:hAnsi="Calibri"/>
          <w:sz w:val="22"/>
          <w:szCs w:val="22"/>
        </w:rPr>
        <w:t xml:space="preserve">, který je blíže specifikovaný v Příloze č. </w:t>
      </w:r>
      <w:r w:rsidR="004E5DFC">
        <w:rPr>
          <w:rFonts w:ascii="Calibri" w:hAnsi="Calibri"/>
          <w:sz w:val="22"/>
          <w:szCs w:val="22"/>
        </w:rPr>
        <w:t>3</w:t>
      </w:r>
      <w:r>
        <w:rPr>
          <w:rFonts w:ascii="Calibri" w:hAnsi="Calibri"/>
          <w:sz w:val="22"/>
          <w:szCs w:val="22"/>
        </w:rPr>
        <w:t xml:space="preserve"> této Rámcové smlouvy, a</w:t>
      </w:r>
    </w:p>
    <w:p w14:paraId="113F7E5B" w14:textId="640B1F1A" w:rsidR="00EA4690" w:rsidRPr="00EA4690" w:rsidRDefault="00823470" w:rsidP="00EA4690">
      <w:pPr>
        <w:numPr>
          <w:ilvl w:val="1"/>
          <w:numId w:val="6"/>
        </w:numPr>
        <w:spacing w:before="60"/>
        <w:jc w:val="both"/>
        <w:rPr>
          <w:rFonts w:ascii="Calibri" w:hAnsi="Calibri"/>
          <w:sz w:val="22"/>
          <w:szCs w:val="22"/>
        </w:rPr>
      </w:pPr>
      <w:r>
        <w:rPr>
          <w:rFonts w:ascii="Calibri" w:hAnsi="Calibri"/>
          <w:sz w:val="22"/>
          <w:szCs w:val="22"/>
        </w:rPr>
        <w:t>souvisejících opravárenských prací – aktualizace SW pro zajištěné bezchybné funkce opravené převodovky.</w:t>
      </w:r>
    </w:p>
    <w:p w14:paraId="5397F47D" w14:textId="5CACB83D" w:rsidR="00EA4690" w:rsidRDefault="00EA4690" w:rsidP="00E324FD">
      <w:pPr>
        <w:numPr>
          <w:ilvl w:val="0"/>
          <w:numId w:val="6"/>
        </w:numPr>
        <w:spacing w:before="60"/>
        <w:ind w:left="567" w:hanging="567"/>
        <w:jc w:val="both"/>
        <w:rPr>
          <w:rFonts w:ascii="Calibri" w:hAnsi="Calibri"/>
          <w:sz w:val="22"/>
          <w:szCs w:val="22"/>
        </w:rPr>
      </w:pPr>
      <w:r>
        <w:rPr>
          <w:rFonts w:ascii="Calibri" w:hAnsi="Calibri"/>
          <w:sz w:val="22"/>
          <w:szCs w:val="22"/>
        </w:rPr>
        <w:t>Konkrétní specifikace Díla bude vždy sjednána v příslušné Dílčí smlouvě uzavřené mezi Objednatelem a Zhotovitelem na základě této Rámcové smlouvy (dále též jako „</w:t>
      </w:r>
      <w:r>
        <w:rPr>
          <w:rFonts w:ascii="Calibri" w:hAnsi="Calibri"/>
          <w:b/>
          <w:bCs/>
          <w:i/>
          <w:iCs/>
          <w:sz w:val="22"/>
          <w:szCs w:val="22"/>
        </w:rPr>
        <w:t>Dílčí smlouva</w:t>
      </w:r>
      <w:r>
        <w:rPr>
          <w:rFonts w:ascii="Calibri" w:hAnsi="Calibri"/>
          <w:sz w:val="22"/>
          <w:szCs w:val="22"/>
        </w:rPr>
        <w:t>“).</w:t>
      </w:r>
    </w:p>
    <w:p w14:paraId="00DBF4EF" w14:textId="629EC0FB" w:rsidR="008D656D" w:rsidRDefault="002A560C"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Předpokládaný</w:t>
      </w:r>
      <w:r w:rsidR="008D656D">
        <w:rPr>
          <w:rFonts w:ascii="Calibri" w:hAnsi="Calibri"/>
          <w:sz w:val="22"/>
          <w:szCs w:val="22"/>
        </w:rPr>
        <w:t xml:space="preserve"> rozsah plnění spočívající v opravě </w:t>
      </w:r>
      <w:r w:rsidR="00DC4D11">
        <w:rPr>
          <w:rFonts w:ascii="Calibri" w:hAnsi="Calibri"/>
          <w:sz w:val="22"/>
          <w:szCs w:val="22"/>
        </w:rPr>
        <w:t xml:space="preserve">převodovek </w:t>
      </w:r>
      <w:r w:rsidR="008D656D" w:rsidRPr="008D656D">
        <w:rPr>
          <w:rFonts w:ascii="Calibri" w:hAnsi="Calibri"/>
          <w:sz w:val="22"/>
          <w:szCs w:val="22"/>
        </w:rPr>
        <w:t>Voith DIWA z vozidel ř. 814</w:t>
      </w:r>
      <w:r w:rsidR="00DC4D11">
        <w:rPr>
          <w:rFonts w:ascii="Calibri" w:hAnsi="Calibri"/>
          <w:sz w:val="22"/>
          <w:szCs w:val="22"/>
        </w:rPr>
        <w:t xml:space="preserve"> je</w:t>
      </w:r>
      <w:r w:rsidR="00EA4690" w:rsidRPr="00EA4690">
        <w:rPr>
          <w:rFonts w:ascii="Calibri" w:hAnsi="Calibri"/>
          <w:sz w:val="22"/>
          <w:szCs w:val="22"/>
        </w:rPr>
        <w:t xml:space="preserve"> </w:t>
      </w:r>
      <w:r w:rsidR="00EA4690">
        <w:rPr>
          <w:rFonts w:ascii="Calibri" w:hAnsi="Calibri"/>
          <w:sz w:val="22"/>
          <w:szCs w:val="22"/>
        </w:rPr>
        <w:t>v roce 2022</w:t>
      </w:r>
      <w:r w:rsidR="008D656D">
        <w:rPr>
          <w:rFonts w:ascii="Calibri" w:hAnsi="Calibri"/>
          <w:sz w:val="22"/>
          <w:szCs w:val="22"/>
        </w:rPr>
        <w:t xml:space="preserve"> </w:t>
      </w:r>
      <w:r>
        <w:rPr>
          <w:rFonts w:ascii="Calibri" w:hAnsi="Calibri"/>
          <w:sz w:val="22"/>
          <w:szCs w:val="22"/>
        </w:rPr>
        <w:t>v celkovém počtu 5 ks.</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5A57F2FB"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DC4D11" w:rsidRPr="00DC4D11">
        <w:rPr>
          <w:rFonts w:ascii="Calibri" w:hAnsi="Calibri"/>
          <w:sz w:val="22"/>
          <w:szCs w:val="22"/>
        </w:rPr>
        <w:t>Odbor</w:t>
      </w:r>
      <w:r w:rsidR="00DC4D11">
        <w:rPr>
          <w:rFonts w:ascii="Calibri" w:hAnsi="Calibri"/>
          <w:sz w:val="22"/>
          <w:szCs w:val="22"/>
        </w:rPr>
        <w:t>u</w:t>
      </w:r>
      <w:r w:rsidR="00DC4D11" w:rsidRPr="00DC4D11">
        <w:rPr>
          <w:rFonts w:ascii="Calibri" w:hAnsi="Calibri"/>
          <w:sz w:val="22"/>
          <w:szCs w:val="22"/>
        </w:rPr>
        <w:t xml:space="preserve"> nákupu a zásobování</w:t>
      </w:r>
      <w:r w:rsidR="00DC4D11">
        <w:rPr>
          <w:rFonts w:ascii="Calibri" w:hAnsi="Calibri"/>
          <w:sz w:val="22"/>
          <w:szCs w:val="22"/>
        </w:rPr>
        <w:t xml:space="preserve"> </w:t>
      </w:r>
      <w:r w:rsidR="001D3D0A" w:rsidRPr="00801B74">
        <w:rPr>
          <w:rFonts w:ascii="Calibri" w:hAnsi="Calibri"/>
          <w:szCs w:val="24"/>
        </w:rPr>
        <w:t>(MTZ)</w:t>
      </w:r>
      <w:r w:rsidR="00B339D9">
        <w:rPr>
          <w:rFonts w:ascii="Calibri" w:hAnsi="Calibri"/>
          <w:szCs w:val="24"/>
        </w:rPr>
        <w:t xml:space="preserve"> </w:t>
      </w:r>
      <w:r w:rsidRPr="00E73EF2">
        <w:rPr>
          <w:rFonts w:ascii="Calibri" w:hAnsi="Calibri"/>
          <w:sz w:val="22"/>
          <w:szCs w:val="22"/>
        </w:rPr>
        <w:t>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333CDF2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6E14A07"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sidRPr="00F77F6B">
        <w:rPr>
          <w:rFonts w:ascii="Calibri" w:hAnsi="Calibri"/>
          <w:sz w:val="22"/>
          <w:szCs w:val="22"/>
        </w:rPr>
        <w:t xml:space="preserve">Smluvní strany se dohodly, že </w:t>
      </w:r>
      <w:r w:rsidR="005D6068" w:rsidRPr="00F77F6B">
        <w:rPr>
          <w:rFonts w:ascii="Calibri" w:hAnsi="Calibri"/>
          <w:sz w:val="22"/>
          <w:szCs w:val="22"/>
        </w:rPr>
        <w:t>lhůta pro</w:t>
      </w:r>
      <w:r w:rsidR="0072250A" w:rsidRPr="00F77F6B">
        <w:rPr>
          <w:rFonts w:ascii="Calibri" w:hAnsi="Calibri"/>
          <w:sz w:val="22"/>
          <w:szCs w:val="22"/>
        </w:rPr>
        <w:t xml:space="preserve"> </w:t>
      </w:r>
      <w:r w:rsidR="005D6068" w:rsidRPr="00F77F6B">
        <w:rPr>
          <w:rFonts w:ascii="Calibri" w:hAnsi="Calibri"/>
          <w:sz w:val="22"/>
          <w:szCs w:val="22"/>
        </w:rPr>
        <w:t>provedení díla</w:t>
      </w:r>
      <w:r w:rsidR="0072250A" w:rsidRPr="00F77F6B">
        <w:rPr>
          <w:rFonts w:ascii="Calibri" w:hAnsi="Calibri"/>
          <w:sz w:val="22"/>
          <w:szCs w:val="22"/>
        </w:rPr>
        <w:t xml:space="preserve"> je</w:t>
      </w:r>
      <w:proofErr w:type="gramStart"/>
      <w:r w:rsidR="0072250A" w:rsidRPr="00F77F6B">
        <w:rPr>
          <w:rFonts w:ascii="Calibri" w:hAnsi="Calibri"/>
          <w:sz w:val="22"/>
          <w:szCs w:val="22"/>
        </w:rPr>
        <w:t xml:space="preserve"> </w:t>
      </w:r>
      <w:r w:rsidR="008838A8">
        <w:rPr>
          <w:rFonts w:ascii="Calibri" w:hAnsi="Calibri"/>
          <w:sz w:val="22"/>
          <w:szCs w:val="22"/>
        </w:rPr>
        <w:t>….</w:t>
      </w:r>
      <w:proofErr w:type="gramEnd"/>
      <w:r w:rsidR="008838A8">
        <w:rPr>
          <w:rFonts w:ascii="Calibri" w:hAnsi="Calibri"/>
          <w:sz w:val="22"/>
          <w:szCs w:val="22"/>
        </w:rPr>
        <w:t xml:space="preserve">. dnů od doručení objednávky. </w:t>
      </w:r>
    </w:p>
    <w:p w14:paraId="65D73782" w14:textId="18596709" w:rsidR="008838A8" w:rsidRPr="009342F8" w:rsidRDefault="008838A8" w:rsidP="008838A8">
      <w:pPr>
        <w:pStyle w:val="Odstavecseseznamem"/>
        <w:numPr>
          <w:ilvl w:val="0"/>
          <w:numId w:val="5"/>
        </w:numPr>
        <w:spacing w:before="60"/>
        <w:ind w:left="567" w:hanging="567"/>
        <w:contextualSpacing w:val="0"/>
        <w:jc w:val="both"/>
        <w:rPr>
          <w:rFonts w:ascii="Calibri" w:hAnsi="Calibri"/>
          <w:sz w:val="22"/>
          <w:szCs w:val="22"/>
        </w:rPr>
      </w:pPr>
      <w:r w:rsidRPr="009342F8">
        <w:rPr>
          <w:rFonts w:ascii="Calibri" w:hAnsi="Calibri"/>
          <w:sz w:val="22"/>
          <w:szCs w:val="22"/>
        </w:rPr>
        <w:t>Objednatel předpokládá následující harmonogram oprav:</w:t>
      </w:r>
    </w:p>
    <w:p w14:paraId="38D28F93" w14:textId="77777777" w:rsidR="008838A8" w:rsidRDefault="008838A8" w:rsidP="008838A8">
      <w:pPr>
        <w:pStyle w:val="Odstavecseseznamem"/>
        <w:spacing w:before="60"/>
        <w:ind w:left="567"/>
        <w:contextualSpacing w:val="0"/>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1555"/>
        <w:gridCol w:w="1353"/>
      </w:tblGrid>
      <w:tr w:rsidR="00494968" w14:paraId="0D48812E" w14:textId="77777777" w:rsidTr="008838A8">
        <w:tc>
          <w:tcPr>
            <w:tcW w:w="2908" w:type="dxa"/>
            <w:gridSpan w:val="2"/>
          </w:tcPr>
          <w:p w14:paraId="27F21626" w14:textId="48863CCD" w:rsidR="00494968" w:rsidRDefault="00494968" w:rsidP="00494968">
            <w:pPr>
              <w:pStyle w:val="Odstavecseseznamem"/>
              <w:spacing w:before="60"/>
              <w:ind w:left="0"/>
              <w:contextualSpacing w:val="0"/>
              <w:jc w:val="both"/>
              <w:rPr>
                <w:rFonts w:ascii="Calibri" w:hAnsi="Calibri"/>
                <w:sz w:val="22"/>
                <w:szCs w:val="22"/>
              </w:rPr>
            </w:pPr>
            <w:r>
              <w:rPr>
                <w:rFonts w:ascii="Calibri" w:hAnsi="Calibri"/>
                <w:sz w:val="22"/>
                <w:szCs w:val="22"/>
              </w:rPr>
              <w:t>Harmonogram oprav</w:t>
            </w:r>
          </w:p>
        </w:tc>
      </w:tr>
      <w:tr w:rsidR="008838A8" w14:paraId="7E706CE8" w14:textId="77777777" w:rsidTr="008838A8">
        <w:tc>
          <w:tcPr>
            <w:tcW w:w="1555" w:type="dxa"/>
          </w:tcPr>
          <w:p w14:paraId="63751E11" w14:textId="14A260AC" w:rsidR="008838A8" w:rsidRDefault="008838A8" w:rsidP="008838A8">
            <w:pPr>
              <w:pStyle w:val="Odstavecseseznamem"/>
              <w:spacing w:before="60"/>
              <w:ind w:left="0"/>
              <w:contextualSpacing w:val="0"/>
              <w:jc w:val="both"/>
              <w:rPr>
                <w:bCs/>
                <w:sz w:val="22"/>
                <w:szCs w:val="22"/>
              </w:rPr>
            </w:pPr>
            <w:r w:rsidRPr="00D70641">
              <w:rPr>
                <w:bCs/>
                <w:sz w:val="22"/>
                <w:szCs w:val="22"/>
              </w:rPr>
              <w:t>Převodovka</w:t>
            </w:r>
            <w:r>
              <w:rPr>
                <w:bCs/>
                <w:sz w:val="22"/>
                <w:szCs w:val="22"/>
              </w:rPr>
              <w:t xml:space="preserve"> 3 ks</w:t>
            </w:r>
          </w:p>
          <w:p w14:paraId="31907F3A" w14:textId="346355C4" w:rsidR="008838A8" w:rsidRPr="00483C98" w:rsidRDefault="008838A8" w:rsidP="008838A8">
            <w:pPr>
              <w:pStyle w:val="Odstavecseseznamem"/>
              <w:spacing w:before="60"/>
              <w:ind w:left="0"/>
              <w:contextualSpacing w:val="0"/>
              <w:jc w:val="both"/>
              <w:rPr>
                <w:rFonts w:ascii="Calibri" w:hAnsi="Calibri"/>
                <w:sz w:val="22"/>
                <w:szCs w:val="22"/>
              </w:rPr>
            </w:pPr>
          </w:p>
        </w:tc>
        <w:tc>
          <w:tcPr>
            <w:tcW w:w="1353" w:type="dxa"/>
          </w:tcPr>
          <w:p w14:paraId="0F6DB2C8" w14:textId="77908C29" w:rsidR="008838A8" w:rsidRDefault="008838A8" w:rsidP="008838A8">
            <w:pPr>
              <w:pStyle w:val="Odstavecseseznamem"/>
              <w:spacing w:before="60"/>
              <w:ind w:left="0"/>
              <w:contextualSpacing w:val="0"/>
              <w:jc w:val="both"/>
              <w:rPr>
                <w:rFonts w:ascii="Calibri" w:hAnsi="Calibri"/>
                <w:sz w:val="22"/>
                <w:szCs w:val="22"/>
              </w:rPr>
            </w:pPr>
            <w:r>
              <w:rPr>
                <w:bCs/>
                <w:sz w:val="22"/>
                <w:szCs w:val="22"/>
              </w:rPr>
              <w:t>Období č</w:t>
            </w:r>
            <w:r w:rsidRPr="00D70641">
              <w:rPr>
                <w:bCs/>
                <w:sz w:val="22"/>
                <w:szCs w:val="22"/>
              </w:rPr>
              <w:t>erven</w:t>
            </w:r>
            <w:r>
              <w:rPr>
                <w:bCs/>
                <w:sz w:val="22"/>
                <w:szCs w:val="22"/>
              </w:rPr>
              <w:t>ec-srpen</w:t>
            </w:r>
            <w:r w:rsidRPr="00D70641">
              <w:rPr>
                <w:bCs/>
                <w:sz w:val="22"/>
                <w:szCs w:val="22"/>
              </w:rPr>
              <w:t xml:space="preserve"> 2022</w:t>
            </w:r>
          </w:p>
        </w:tc>
      </w:tr>
      <w:tr w:rsidR="008838A8" w14:paraId="125477A6" w14:textId="77777777" w:rsidTr="008838A8">
        <w:tc>
          <w:tcPr>
            <w:tcW w:w="1555" w:type="dxa"/>
          </w:tcPr>
          <w:p w14:paraId="3A0F00B6" w14:textId="499701EA"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lastRenderedPageBreak/>
              <w:t>Převodovka</w:t>
            </w:r>
            <w:r>
              <w:rPr>
                <w:bCs/>
                <w:sz w:val="22"/>
                <w:szCs w:val="22"/>
              </w:rPr>
              <w:t xml:space="preserve"> 1 ks</w:t>
            </w:r>
          </w:p>
        </w:tc>
        <w:tc>
          <w:tcPr>
            <w:tcW w:w="1353" w:type="dxa"/>
          </w:tcPr>
          <w:p w14:paraId="6C9B067A" w14:textId="02CA1794" w:rsidR="008838A8" w:rsidRDefault="008838A8" w:rsidP="008838A8">
            <w:pPr>
              <w:pStyle w:val="Odstavecseseznamem"/>
              <w:spacing w:before="60"/>
              <w:ind w:left="0"/>
              <w:contextualSpacing w:val="0"/>
              <w:jc w:val="both"/>
              <w:rPr>
                <w:rFonts w:ascii="Calibri" w:hAnsi="Calibri"/>
                <w:sz w:val="22"/>
                <w:szCs w:val="22"/>
              </w:rPr>
            </w:pPr>
            <w:r>
              <w:rPr>
                <w:bCs/>
                <w:sz w:val="22"/>
                <w:szCs w:val="22"/>
              </w:rPr>
              <w:t>říjen</w:t>
            </w:r>
            <w:r w:rsidRPr="00D70641">
              <w:rPr>
                <w:bCs/>
                <w:sz w:val="22"/>
                <w:szCs w:val="22"/>
              </w:rPr>
              <w:t xml:space="preserve"> 2022</w:t>
            </w:r>
          </w:p>
        </w:tc>
      </w:tr>
      <w:tr w:rsidR="008838A8" w14:paraId="34E3C30B" w14:textId="77777777" w:rsidTr="008838A8">
        <w:tc>
          <w:tcPr>
            <w:tcW w:w="1555" w:type="dxa"/>
          </w:tcPr>
          <w:p w14:paraId="4D7EE290" w14:textId="4279AB5C"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t>Převodovka</w:t>
            </w:r>
            <w:r>
              <w:rPr>
                <w:bCs/>
                <w:sz w:val="22"/>
                <w:szCs w:val="22"/>
              </w:rPr>
              <w:t xml:space="preserve"> 1 ks</w:t>
            </w:r>
          </w:p>
        </w:tc>
        <w:tc>
          <w:tcPr>
            <w:tcW w:w="1353" w:type="dxa"/>
          </w:tcPr>
          <w:p w14:paraId="17C67E30" w14:textId="601FFCDD" w:rsidR="008838A8" w:rsidRDefault="008838A8" w:rsidP="008838A8">
            <w:pPr>
              <w:pStyle w:val="Odstavecseseznamem"/>
              <w:spacing w:before="60"/>
              <w:ind w:left="0"/>
              <w:contextualSpacing w:val="0"/>
              <w:jc w:val="both"/>
              <w:rPr>
                <w:rFonts w:ascii="Calibri" w:hAnsi="Calibri"/>
                <w:sz w:val="22"/>
                <w:szCs w:val="22"/>
              </w:rPr>
            </w:pPr>
            <w:r>
              <w:rPr>
                <w:bCs/>
                <w:sz w:val="22"/>
                <w:szCs w:val="22"/>
              </w:rPr>
              <w:t>listopad</w:t>
            </w:r>
            <w:r w:rsidRPr="00D70641">
              <w:rPr>
                <w:bCs/>
                <w:sz w:val="22"/>
                <w:szCs w:val="22"/>
              </w:rPr>
              <w:t>2022</w:t>
            </w:r>
          </w:p>
        </w:tc>
      </w:tr>
    </w:tbl>
    <w:p w14:paraId="5199AF91" w14:textId="77777777" w:rsidR="00494968" w:rsidRDefault="00494968" w:rsidP="00494968">
      <w:pPr>
        <w:pStyle w:val="Odstavecseseznamem"/>
        <w:spacing w:before="60"/>
        <w:ind w:left="567"/>
        <w:contextualSpacing w:val="0"/>
        <w:jc w:val="both"/>
        <w:rPr>
          <w:rFonts w:ascii="Calibri" w:hAnsi="Calibri"/>
          <w:sz w:val="22"/>
          <w:szCs w:val="22"/>
        </w:rPr>
      </w:pPr>
    </w:p>
    <w:p w14:paraId="41A48B5A" w14:textId="2097612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494968">
        <w:rPr>
          <w:rFonts w:ascii="Calibri" w:hAnsi="Calibri"/>
          <w:sz w:val="22"/>
          <w:szCs w:val="22"/>
        </w:rPr>
        <w:t>Petr</w:t>
      </w:r>
      <w:r w:rsidR="00D02CB9">
        <w:rPr>
          <w:rFonts w:ascii="Calibri" w:hAnsi="Calibri"/>
          <w:sz w:val="22"/>
          <w:szCs w:val="22"/>
        </w:rPr>
        <w:t>.S</w:t>
      </w:r>
      <w:r w:rsidR="00494968">
        <w:rPr>
          <w:rFonts w:ascii="Calibri" w:hAnsi="Calibri"/>
          <w:sz w:val="22"/>
          <w:szCs w:val="22"/>
        </w:rPr>
        <w:t>omr</w:t>
      </w:r>
      <w:r w:rsidR="00D02CB9">
        <w:rPr>
          <w:rFonts w:ascii="Calibri" w:hAnsi="Calibri"/>
          <w:sz w:val="22"/>
          <w:szCs w:val="22"/>
        </w:rPr>
        <w:t>@dpov.cz</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lastRenderedPageBreak/>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0BFDF67F" w:rsidR="00B3010A" w:rsidRPr="00203EF1"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8E61E2F" w14:textId="1B6D8F69" w:rsidR="00203EF1" w:rsidRDefault="00203EF1" w:rsidP="00203EF1">
      <w:pPr>
        <w:spacing w:before="60"/>
        <w:jc w:val="both"/>
        <w:rPr>
          <w:rFonts w:asciiTheme="minorHAnsi" w:hAnsiTheme="minorHAnsi"/>
          <w:b/>
          <w:sz w:val="22"/>
          <w:szCs w:val="22"/>
        </w:rPr>
      </w:pPr>
    </w:p>
    <w:p w14:paraId="5FBA286B" w14:textId="2101C776" w:rsidR="00203EF1" w:rsidRPr="00203EF1" w:rsidRDefault="00203EF1" w:rsidP="00203EF1">
      <w:pPr>
        <w:spacing w:before="60"/>
        <w:jc w:val="center"/>
        <w:rPr>
          <w:rFonts w:ascii="Calibri" w:hAnsi="Calibri"/>
          <w:b/>
          <w:sz w:val="22"/>
          <w:szCs w:val="22"/>
        </w:rPr>
      </w:pPr>
      <w:r w:rsidRPr="00203EF1">
        <w:rPr>
          <w:rFonts w:ascii="Calibri" w:hAnsi="Calibri"/>
          <w:b/>
          <w:sz w:val="22"/>
          <w:szCs w:val="22"/>
        </w:rPr>
        <w:t>IV.</w:t>
      </w:r>
    </w:p>
    <w:p w14:paraId="552373B4" w14:textId="3BD251F5" w:rsidR="00203EF1" w:rsidRDefault="00203EF1" w:rsidP="00203EF1">
      <w:pPr>
        <w:spacing w:before="60"/>
        <w:jc w:val="center"/>
        <w:rPr>
          <w:rFonts w:ascii="Calibri" w:hAnsi="Calibri"/>
          <w:b/>
          <w:sz w:val="22"/>
          <w:szCs w:val="22"/>
        </w:rPr>
      </w:pPr>
      <w:r w:rsidRPr="00203EF1">
        <w:rPr>
          <w:rFonts w:ascii="Calibri" w:hAnsi="Calibri"/>
          <w:b/>
          <w:sz w:val="22"/>
          <w:szCs w:val="22"/>
        </w:rPr>
        <w:t>Výměnný systém</w:t>
      </w:r>
    </w:p>
    <w:p w14:paraId="2CE2E35C" w14:textId="129F476F"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 xml:space="preserve">Smluvní strany se dohodly, že Zhotovitel se zprostí povinnosti Dílo dle Dílčí smlouvy provést za podmínky, že převede na Objednatele vlastnické právo k věci stejného druhu výměnou za závazek Objednatele, že na </w:t>
      </w:r>
      <w:r w:rsidRPr="00203EF1">
        <w:rPr>
          <w:rFonts w:ascii="Calibri" w:hAnsi="Calibri"/>
          <w:sz w:val="22"/>
          <w:szCs w:val="22"/>
        </w:rPr>
        <w:lastRenderedPageBreak/>
        <w:t>Zhotovitele převede vlastnické právo k Věci, na které by byl jinak Zhotovitel dle Dílčí smlouvy povinen provést generální opravu (dále též jako „Výměna“ či „Výměnný systém“).</w:t>
      </w:r>
    </w:p>
    <w:p w14:paraId="17390E33" w14:textId="20713763"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Zhotovitel může na Objednatele převést vlastnické právo k věci stejného druhu pouze tehdy, odpovídá-li její jakost a provedení jakosti a provedení provedeného Díla bez jakýchkoliv vad a nedodělků. Objednatel nemá povinnost přijmout jako plnění věc stejného druhu, která nemá stanovenou jakost a provedení, přičemž v takovém případě se Zhotovitel nezprostí povinnosti Dílo dle Dílčí smlouvy provést.</w:t>
      </w:r>
    </w:p>
    <w:p w14:paraId="02E282D6" w14:textId="0BB4F22B"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Na výměnný systém se přiměřeně použijí veškerá ustanovení Rámcové smlouvy upravující mezi Smluvními stranami práva a povinnosti, a to včetně těch upravujících provádění díla, zejména však čas, místo, způsob plnění, jakož i převod vlastnického práva a přechodu nebezpečí škody na věci (společně též jako „Dodací podmínky“) včetně odpovědnosti za vady a záruky za jakost.</w:t>
      </w:r>
    </w:p>
    <w:p w14:paraId="46C20A15" w14:textId="3532BA13"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V případě provedení výměny mezi Smluvními stranami dle tohoto článku náleží Zhotoviteli odměna sjednaná v příslušné Dílčí smlouvě.</w:t>
      </w:r>
    </w:p>
    <w:p w14:paraId="3A9CD206" w14:textId="7F9C50FC" w:rsidR="006A2FC2"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Smluvní strany se dohodly, že vylučují aplikaci ustanovení § 2185 odst. 2,3 NOZ.</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382EFEA8" w:rsidR="00AF0F65" w:rsidRPr="00DA1E5B" w:rsidRDefault="00050318" w:rsidP="00B56245">
      <w:pPr>
        <w:spacing w:before="60"/>
        <w:jc w:val="center"/>
        <w:rPr>
          <w:rFonts w:asciiTheme="minorHAnsi" w:hAnsiTheme="minorHAnsi"/>
          <w:b/>
          <w:sz w:val="22"/>
          <w:szCs w:val="22"/>
        </w:rPr>
      </w:pPr>
      <w:r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080371D" w:rsidR="000A644C" w:rsidRDefault="000954DD" w:rsidP="006F7643">
      <w:pPr>
        <w:numPr>
          <w:ilvl w:val="0"/>
          <w:numId w:val="39"/>
        </w:numPr>
        <w:spacing w:before="60"/>
        <w:ind w:hanging="720"/>
        <w:jc w:val="both"/>
        <w:rPr>
          <w:rFonts w:ascii="Calibri" w:hAnsi="Calibri"/>
          <w:sz w:val="22"/>
          <w:szCs w:val="22"/>
        </w:rPr>
      </w:pPr>
      <w:r>
        <w:rPr>
          <w:rFonts w:ascii="Calibri" w:hAnsi="Calibri"/>
          <w:sz w:val="22"/>
          <w:szCs w:val="22"/>
        </w:rPr>
        <w:t>Smluvní strany se dohodly, že celková cena za celý rozsah plnění dle této Rámcové smlouvy (dále jen „</w:t>
      </w:r>
      <w:r>
        <w:rPr>
          <w:rFonts w:ascii="Calibri" w:hAnsi="Calibri"/>
          <w:b/>
          <w:bCs/>
          <w:i/>
          <w:iCs/>
          <w:sz w:val="22"/>
          <w:szCs w:val="22"/>
        </w:rPr>
        <w:t>Cena</w:t>
      </w:r>
      <w:r>
        <w:rPr>
          <w:rFonts w:ascii="Calibri" w:hAnsi="Calibri"/>
          <w:sz w:val="22"/>
          <w:szCs w:val="22"/>
        </w:rPr>
        <w:t>“) je</w:t>
      </w:r>
      <w:r w:rsidR="00E92B8F">
        <w:rPr>
          <w:rFonts w:ascii="Calibri" w:hAnsi="Calibri"/>
          <w:sz w:val="22"/>
          <w:szCs w:val="22"/>
        </w:rPr>
        <w:t xml:space="preserve"> …………………. Kč bez DPH</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6F7643">
      <w:pPr>
        <w:numPr>
          <w:ilvl w:val="0"/>
          <w:numId w:val="39"/>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6F7643">
      <w:pPr>
        <w:numPr>
          <w:ilvl w:val="0"/>
          <w:numId w:val="39"/>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6F7643">
      <w:pPr>
        <w:numPr>
          <w:ilvl w:val="0"/>
          <w:numId w:val="39"/>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6F7643">
      <w:pPr>
        <w:numPr>
          <w:ilvl w:val="0"/>
          <w:numId w:val="39"/>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7770E91B" w:rsidR="00D13AD4" w:rsidRDefault="001F2ABD" w:rsidP="006F7643">
      <w:pPr>
        <w:numPr>
          <w:ilvl w:val="0"/>
          <w:numId w:val="39"/>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93D06">
        <w:rPr>
          <w:rFonts w:ascii="Calibri" w:hAnsi="Calibri"/>
          <w:sz w:val="22"/>
          <w:szCs w:val="22"/>
        </w:rPr>
        <w:t>5</w:t>
      </w:r>
      <w:r w:rsidR="00C24256">
        <w:rPr>
          <w:rFonts w:ascii="Calibri" w:hAnsi="Calibri"/>
          <w:sz w:val="22"/>
          <w:szCs w:val="22"/>
        </w:rPr>
        <w:t xml:space="preserve"> odst. </w:t>
      </w:r>
      <w:r w:rsidR="00C93D06">
        <w:rPr>
          <w:rFonts w:ascii="Calibri" w:hAnsi="Calibri"/>
          <w:sz w:val="22"/>
          <w:szCs w:val="22"/>
        </w:rPr>
        <w:t>5</w:t>
      </w:r>
      <w:r w:rsidR="00BA13D1">
        <w:rPr>
          <w:rFonts w:ascii="Calibri" w:hAnsi="Calibri"/>
          <w:sz w:val="22"/>
          <w:szCs w:val="22"/>
        </w:rPr>
        <w:t>.7.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6F7643">
      <w:pPr>
        <w:numPr>
          <w:ilvl w:val="0"/>
          <w:numId w:val="39"/>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6F7643">
      <w:pPr>
        <w:numPr>
          <w:ilvl w:val="0"/>
          <w:numId w:val="39"/>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174A8706" w:rsidR="00FF4749" w:rsidRPr="00413D33" w:rsidRDefault="00FF4749" w:rsidP="00776F5A">
      <w:pPr>
        <w:jc w:val="center"/>
        <w:rPr>
          <w:rFonts w:ascii="Calibri" w:hAnsi="Calibri"/>
          <w:sz w:val="22"/>
          <w:szCs w:val="22"/>
        </w:rPr>
      </w:pPr>
      <w:r w:rsidRPr="00413D33">
        <w:rPr>
          <w:rFonts w:ascii="Calibri" w:hAnsi="Calibri"/>
          <w:b/>
          <w:sz w:val="22"/>
          <w:szCs w:val="22"/>
        </w:rPr>
        <w:t>V</w:t>
      </w:r>
      <w:r w:rsidR="00661E32">
        <w:rPr>
          <w:rFonts w:ascii="Calibri" w:hAnsi="Calibri"/>
          <w:b/>
          <w:sz w:val="22"/>
          <w:szCs w:val="22"/>
        </w:rPr>
        <w:t>I</w:t>
      </w:r>
      <w:r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32519C2B" w:rsidR="00981883" w:rsidRPr="00981883" w:rsidRDefault="00F171A2" w:rsidP="0053362E">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93D06">
        <w:rPr>
          <w:rFonts w:asciiTheme="minorHAnsi" w:hAnsiTheme="minorHAnsi" w:cs="Arial"/>
          <w:sz w:val="22"/>
          <w:szCs w:val="22"/>
        </w:rPr>
        <w:t>VI.</w:t>
      </w:r>
      <w:r w:rsidR="00C24256">
        <w:rPr>
          <w:rFonts w:asciiTheme="minorHAnsi" w:hAnsiTheme="minorHAnsi" w:cs="Arial"/>
          <w:sz w:val="22"/>
          <w:szCs w:val="22"/>
        </w:rPr>
        <w:t xml:space="preserve"> odst. </w:t>
      </w:r>
      <w:r w:rsidR="00282074">
        <w:rPr>
          <w:rFonts w:asciiTheme="minorHAnsi" w:hAnsiTheme="minorHAnsi" w:cs="Arial"/>
          <w:sz w:val="22"/>
          <w:szCs w:val="22"/>
        </w:rPr>
        <w:t>6</w:t>
      </w:r>
      <w:r w:rsidR="0053362E">
        <w:rPr>
          <w:rFonts w:asciiTheme="minorHAnsi" w:hAnsiTheme="minorHAnsi" w:cs="Arial"/>
          <w:sz w:val="22"/>
          <w:szCs w:val="22"/>
        </w:rPr>
        <w:t>.</w:t>
      </w:r>
      <w:r w:rsidR="00C93D06">
        <w:rPr>
          <w:rFonts w:asciiTheme="minorHAnsi" w:hAnsiTheme="minorHAnsi" w:cs="Arial"/>
          <w:sz w:val="22"/>
          <w:szCs w:val="22"/>
        </w:rPr>
        <w:t>7</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06C5B541" w:rsidR="00345D76" w:rsidRPr="002C232A" w:rsidRDefault="00F171A2" w:rsidP="002C232A">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xml:space="preserve">, tj. záruční a pozáruční servis po dobu </w:t>
      </w:r>
      <w:r w:rsidR="00E92B8F">
        <w:rPr>
          <w:rFonts w:asciiTheme="minorHAnsi" w:hAnsiTheme="minorHAnsi" w:cs="Arial"/>
          <w:sz w:val="22"/>
          <w:szCs w:val="22"/>
        </w:rPr>
        <w:t>24</w:t>
      </w:r>
      <w:r w:rsidR="0063457F" w:rsidRPr="00031ABA">
        <w:rPr>
          <w:rFonts w:asciiTheme="minorHAnsi" w:hAnsiTheme="minorHAnsi" w:cs="Arial"/>
          <w:sz w:val="22"/>
          <w:szCs w:val="22"/>
        </w:rPr>
        <w:t xml:space="preserve"> měsíců</w:t>
      </w:r>
      <w:r w:rsidR="0063457F">
        <w:rPr>
          <w:rFonts w:asciiTheme="minorHAnsi" w:hAnsiTheme="minorHAnsi" w:cs="Arial"/>
          <w:sz w:val="22"/>
          <w:szCs w:val="22"/>
        </w:rPr>
        <w:t>,</w:t>
      </w:r>
      <w:r w:rsidR="00E92B8F">
        <w:rPr>
          <w:rFonts w:asciiTheme="minorHAnsi" w:hAnsiTheme="minorHAnsi" w:cs="Arial"/>
          <w:sz w:val="22"/>
          <w:szCs w:val="22"/>
        </w:rPr>
        <w:t xml:space="preserve"> nebo do ujetí 200.000 km, podle toho, co nastane dřív,</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CE8A379" w:rsidR="00DA1DB5" w:rsidRDefault="00DA1DB5" w:rsidP="00DA1DB5">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93D06">
        <w:rPr>
          <w:rFonts w:asciiTheme="minorHAnsi" w:hAnsiTheme="minorHAnsi"/>
          <w:sz w:val="22"/>
          <w:szCs w:val="22"/>
        </w:rPr>
        <w:t>VI.</w:t>
      </w:r>
      <w:r w:rsidR="00C24256">
        <w:rPr>
          <w:rFonts w:asciiTheme="minorHAnsi" w:hAnsiTheme="minorHAnsi"/>
          <w:sz w:val="22"/>
          <w:szCs w:val="22"/>
        </w:rPr>
        <w:t xml:space="preserve"> odst. </w:t>
      </w:r>
      <w:r w:rsidR="00C93D06">
        <w:rPr>
          <w:rFonts w:asciiTheme="minorHAnsi" w:hAnsiTheme="minorHAnsi"/>
          <w:sz w:val="22"/>
          <w:szCs w:val="22"/>
        </w:rPr>
        <w:t>6</w:t>
      </w:r>
      <w:r>
        <w:rPr>
          <w:rFonts w:asciiTheme="minorHAnsi" w:hAnsiTheme="minorHAnsi"/>
          <w:sz w:val="22"/>
          <w:szCs w:val="22"/>
        </w:rPr>
        <w:t>.</w:t>
      </w:r>
      <w:r w:rsidR="00C93D06">
        <w:rPr>
          <w:rFonts w:asciiTheme="minorHAnsi" w:hAnsiTheme="minorHAnsi"/>
          <w:sz w:val="22"/>
          <w:szCs w:val="22"/>
        </w:rPr>
        <w:t>12</w:t>
      </w:r>
      <w:r>
        <w:rPr>
          <w:rFonts w:asciiTheme="minorHAnsi" w:hAnsiTheme="minorHAnsi"/>
          <w:sz w:val="22"/>
          <w:szCs w:val="22"/>
        </w:rPr>
        <w:t xml:space="preserve"> této </w:t>
      </w:r>
      <w:r w:rsidR="000E6719">
        <w:rPr>
          <w:rFonts w:asciiTheme="minorHAnsi" w:hAnsiTheme="minorHAnsi"/>
          <w:sz w:val="22"/>
          <w:szCs w:val="22"/>
        </w:rPr>
        <w:lastRenderedPageBreak/>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sidR="005A5A85">
        <w:rPr>
          <w:rFonts w:asciiTheme="minorHAnsi" w:hAnsiTheme="minorHAnsi"/>
          <w:sz w:val="22"/>
          <w:szCs w:val="22"/>
        </w:rPr>
        <w:t>,</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as, nesouhlas, částečné uznání)</w:t>
      </w:r>
      <w:r w:rsidR="005A5A85">
        <w:rPr>
          <w:rFonts w:asciiTheme="minorHAnsi" w:hAnsiTheme="minorHAnsi"/>
          <w:sz w:val="22"/>
          <w:szCs w:val="22"/>
        </w:rPr>
        <w:t>; připadne-li oznámení vady Objednatelem na sobotu, neděli či svátek, počítá běžet lhůtu dle předchozího věty nejbližší následující pracovní den</w:t>
      </w:r>
      <w:r>
        <w:rPr>
          <w:rFonts w:asciiTheme="minorHAnsi" w:hAnsiTheme="minorHAnsi"/>
          <w:sz w:val="22"/>
          <w:szCs w:val="22"/>
        </w:rPr>
        <w:t xml:space="preserve">.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06E1EED5"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00CB4C89">
        <w:rPr>
          <w:rFonts w:asciiTheme="minorHAnsi" w:hAnsiTheme="minorHAnsi" w:cs="Arial"/>
          <w:sz w:val="22"/>
          <w:szCs w:val="22"/>
        </w:rPr>
        <w:t xml:space="preserve"> pracovních</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4064D675" w:rsidR="00EA5B27" w:rsidRDefault="00EA5B27" w:rsidP="0086267B">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w:t>
      </w:r>
      <w:r w:rsidR="00CB4C89">
        <w:rPr>
          <w:rFonts w:asciiTheme="minorHAnsi" w:hAnsiTheme="minorHAnsi"/>
          <w:sz w:val="22"/>
          <w:szCs w:val="22"/>
        </w:rPr>
        <w:t xml:space="preserve">pracovních </w:t>
      </w:r>
      <w:r w:rsidR="00027450">
        <w:rPr>
          <w:rFonts w:asciiTheme="minorHAnsi" w:hAnsiTheme="minorHAnsi"/>
          <w:sz w:val="22"/>
          <w:szCs w:val="22"/>
        </w:rPr>
        <w:t xml:space="preserve">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CB18A60" w:rsidR="00EA5B27" w:rsidRDefault="00EA5B27" w:rsidP="00EA5B27">
      <w:pPr>
        <w:pStyle w:val="Zkladntext"/>
        <w:numPr>
          <w:ilvl w:val="1"/>
          <w:numId w:val="2"/>
        </w:numPr>
        <w:tabs>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00CB4C89">
        <w:rPr>
          <w:rFonts w:asciiTheme="minorHAnsi" w:hAnsiTheme="minorHAnsi"/>
          <w:sz w:val="22"/>
          <w:szCs w:val="22"/>
        </w:rPr>
        <w:t xml:space="preserve">pracovních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734478A7" w:rsidR="00080677" w:rsidRPr="00981883" w:rsidRDefault="00080677" w:rsidP="00981883">
      <w:pPr>
        <w:pStyle w:val="Zkladntext"/>
        <w:numPr>
          <w:ilvl w:val="1"/>
          <w:numId w:val="2"/>
        </w:numPr>
        <w:tabs>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93D06">
        <w:rPr>
          <w:rFonts w:asciiTheme="minorHAnsi" w:hAnsiTheme="minorHAnsi"/>
          <w:sz w:val="22"/>
          <w:szCs w:val="22"/>
        </w:rPr>
        <w:t>VI.</w:t>
      </w:r>
      <w:r w:rsidR="00C24256">
        <w:rPr>
          <w:rFonts w:asciiTheme="minorHAnsi" w:hAnsiTheme="minorHAnsi"/>
          <w:sz w:val="22"/>
          <w:szCs w:val="22"/>
        </w:rPr>
        <w:t xml:space="preserve"> odst. </w:t>
      </w:r>
      <w:r w:rsidR="00C93D06">
        <w:rPr>
          <w:rFonts w:asciiTheme="minorHAnsi" w:hAnsiTheme="minorHAnsi"/>
          <w:sz w:val="22"/>
          <w:szCs w:val="22"/>
        </w:rPr>
        <w:t>6</w:t>
      </w:r>
      <w:r w:rsidR="00981883">
        <w:rPr>
          <w:rFonts w:asciiTheme="minorHAnsi" w:hAnsiTheme="minorHAnsi"/>
          <w:sz w:val="22"/>
          <w:szCs w:val="22"/>
        </w:rPr>
        <w:t>.</w:t>
      </w:r>
      <w:r w:rsidR="00C93D06">
        <w:rPr>
          <w:rFonts w:asciiTheme="minorHAnsi" w:hAnsiTheme="minorHAnsi"/>
          <w:sz w:val="22"/>
          <w:szCs w:val="22"/>
        </w:rPr>
        <w:t>12</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w:t>
      </w:r>
      <w:r w:rsidR="00353AA5">
        <w:rPr>
          <w:rFonts w:asciiTheme="minorHAnsi" w:hAnsiTheme="minorHAnsi"/>
          <w:sz w:val="22"/>
          <w:szCs w:val="22"/>
        </w:rPr>
        <w:t xml:space="preserve">, </w:t>
      </w:r>
      <w:r w:rsidR="00353AA5" w:rsidRPr="00353AA5">
        <w:rPr>
          <w:rFonts w:asciiTheme="minorHAnsi" w:hAnsiTheme="minorHAnsi"/>
          <w:sz w:val="22"/>
          <w:szCs w:val="22"/>
        </w:rPr>
        <w:t>maximálně však do celkové výše hodnoty této Rámcové smlouvy, a to pro každou jednotlivou Dílčí smlouvu samostatně</w:t>
      </w:r>
      <w:r w:rsidRPr="00981883">
        <w:rPr>
          <w:rFonts w:asciiTheme="minorHAnsi" w:hAnsiTheme="minorHAnsi"/>
          <w:sz w:val="22"/>
          <w:szCs w:val="22"/>
        </w:rPr>
        <w:t xml:space="preserve">.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212AB225" w:rsidR="00ED0535" w:rsidRPr="00EA6866" w:rsidRDefault="00ED0535" w:rsidP="00914188">
      <w:pPr>
        <w:keepNext/>
        <w:spacing w:before="60"/>
        <w:jc w:val="center"/>
        <w:rPr>
          <w:rFonts w:ascii="Calibri" w:hAnsi="Calibri"/>
          <w:b/>
          <w:sz w:val="22"/>
          <w:szCs w:val="22"/>
        </w:rPr>
      </w:pPr>
      <w:r>
        <w:rPr>
          <w:rFonts w:ascii="Calibri" w:hAnsi="Calibri"/>
          <w:b/>
          <w:sz w:val="22"/>
          <w:szCs w:val="22"/>
        </w:rPr>
        <w:t>V</w:t>
      </w:r>
      <w:r w:rsidR="00661E32">
        <w:rPr>
          <w:rFonts w:ascii="Calibri" w:hAnsi="Calibri"/>
          <w:b/>
          <w:sz w:val="22"/>
          <w:szCs w:val="22"/>
        </w:rPr>
        <w:t>I</w:t>
      </w:r>
      <w:r>
        <w:rPr>
          <w:rFonts w:ascii="Calibri" w:hAnsi="Calibri"/>
          <w:b/>
          <w:sz w:val="22"/>
          <w:szCs w:val="22"/>
        </w:rPr>
        <w:t>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 xml:space="preserve">edány a </w:t>
      </w:r>
      <w:r w:rsidR="006D634E" w:rsidRPr="00646FF7">
        <w:rPr>
          <w:rFonts w:asciiTheme="minorHAnsi" w:hAnsiTheme="minorHAnsi"/>
          <w:color w:val="000000"/>
          <w:sz w:val="22"/>
          <w:szCs w:val="22"/>
        </w:rPr>
        <w:lastRenderedPageBreak/>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 xml:space="preserve">této </w:t>
      </w:r>
      <w:r w:rsidR="00277599">
        <w:rPr>
          <w:rFonts w:ascii="Calibri" w:hAnsi="Calibri"/>
          <w:sz w:val="22"/>
          <w:szCs w:val="22"/>
        </w:rPr>
        <w:lastRenderedPageBreak/>
        <w:t>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E00FB6C"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661E32">
        <w:rPr>
          <w:rFonts w:ascii="Calibri" w:hAnsi="Calibri"/>
          <w:b/>
          <w:sz w:val="22"/>
          <w:szCs w:val="22"/>
        </w:rPr>
        <w:t>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3A58712D"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5A5A85">
        <w:rPr>
          <w:rFonts w:ascii="Calibri" w:hAnsi="Calibri"/>
          <w:sz w:val="22"/>
          <w:szCs w:val="22"/>
        </w:rPr>
        <w:t xml:space="preserve"> plnění, jehož se prodlení týká, a to</w:t>
      </w:r>
      <w:r w:rsidR="00EA6866">
        <w:rPr>
          <w:rFonts w:ascii="Calibri" w:hAnsi="Calibri"/>
          <w:sz w:val="22"/>
          <w:szCs w:val="22"/>
        </w:rPr>
        <w:t xml:space="preserve"> za každý den prodlení. </w:t>
      </w:r>
    </w:p>
    <w:p w14:paraId="2EECDB3D" w14:textId="7E78D2EA"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sidR="005A5A85">
        <w:rPr>
          <w:rFonts w:ascii="Calibri" w:hAnsi="Calibri"/>
          <w:sz w:val="22"/>
          <w:szCs w:val="22"/>
        </w:rPr>
        <w:t xml:space="preserve"> plnění, jehož se prodlení týká, a to</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5A7421A8"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282074">
        <w:rPr>
          <w:rFonts w:asciiTheme="minorHAnsi" w:hAnsiTheme="minorHAnsi"/>
          <w:sz w:val="22"/>
        </w:rPr>
        <w:t>VII.</w:t>
      </w:r>
      <w:r w:rsidR="00C24256">
        <w:rPr>
          <w:rFonts w:asciiTheme="minorHAnsi" w:hAnsiTheme="minorHAnsi"/>
          <w:sz w:val="22"/>
        </w:rPr>
        <w:t xml:space="preserve"> odst. </w:t>
      </w:r>
      <w:r w:rsidR="00661E32">
        <w:rPr>
          <w:rFonts w:asciiTheme="minorHAnsi" w:hAnsiTheme="minorHAnsi"/>
          <w:sz w:val="22"/>
        </w:rPr>
        <w:t>7</w:t>
      </w:r>
      <w:r w:rsidRPr="00965EAF">
        <w:rPr>
          <w:rFonts w:asciiTheme="minorHAnsi" w:hAnsiTheme="minorHAnsi"/>
          <w:sz w:val="22"/>
        </w:rPr>
        <w:t>.</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71CDBF24"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282074">
        <w:rPr>
          <w:rFonts w:asciiTheme="minorHAnsi" w:hAnsiTheme="minorHAnsi"/>
          <w:sz w:val="22"/>
          <w:szCs w:val="22"/>
        </w:rPr>
        <w:t>VII.</w:t>
      </w:r>
      <w:r w:rsidR="00C24256">
        <w:rPr>
          <w:rFonts w:asciiTheme="minorHAnsi" w:hAnsiTheme="minorHAnsi"/>
          <w:sz w:val="22"/>
          <w:szCs w:val="22"/>
        </w:rPr>
        <w:t xml:space="preserve"> odst. </w:t>
      </w:r>
      <w:r w:rsidR="00661E32">
        <w:rPr>
          <w:rFonts w:asciiTheme="minorHAnsi" w:hAnsiTheme="minorHAnsi"/>
          <w:sz w:val="22"/>
        </w:rPr>
        <w:t>7</w:t>
      </w:r>
      <w:r w:rsidRPr="00D442CD">
        <w:rPr>
          <w:rFonts w:asciiTheme="minorHAnsi" w:hAnsiTheme="minorHAnsi"/>
          <w:sz w:val="22"/>
        </w:rPr>
        <w:t>.</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F0E2A1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282074">
        <w:rPr>
          <w:rFonts w:ascii="Calibri" w:hAnsi="Calibri"/>
          <w:sz w:val="22"/>
          <w:szCs w:val="22"/>
        </w:rPr>
        <w:t>VII.</w:t>
      </w:r>
      <w:r w:rsidR="00C24256">
        <w:rPr>
          <w:rFonts w:ascii="Calibri" w:hAnsi="Calibri"/>
          <w:sz w:val="22"/>
          <w:szCs w:val="22"/>
        </w:rPr>
        <w:t xml:space="preserve"> odst. </w:t>
      </w:r>
      <w:r w:rsidR="00661E32">
        <w:rPr>
          <w:rFonts w:ascii="Calibri" w:hAnsi="Calibri"/>
          <w:sz w:val="22"/>
          <w:szCs w:val="22"/>
        </w:rPr>
        <w:t>7</w:t>
      </w:r>
      <w:r>
        <w:rPr>
          <w:rFonts w:ascii="Calibri" w:hAnsi="Calibri"/>
          <w:sz w:val="22"/>
          <w:szCs w:val="22"/>
        </w:rPr>
        <w:t>.8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262841BB"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282074">
        <w:rPr>
          <w:rFonts w:ascii="Calibri" w:hAnsi="Calibri"/>
          <w:sz w:val="22"/>
          <w:szCs w:val="22"/>
        </w:rPr>
        <w:t>I.</w:t>
      </w:r>
      <w:r w:rsidR="00C24256">
        <w:rPr>
          <w:rFonts w:ascii="Calibri" w:hAnsi="Calibri"/>
          <w:sz w:val="22"/>
          <w:szCs w:val="22"/>
        </w:rPr>
        <w:t xml:space="preserve"> odst. </w:t>
      </w:r>
      <w:r w:rsidRPr="003165A6">
        <w:rPr>
          <w:rFonts w:ascii="Calibri" w:hAnsi="Calibri"/>
          <w:sz w:val="22"/>
          <w:szCs w:val="22"/>
        </w:rPr>
        <w:t>1.</w:t>
      </w:r>
      <w:r w:rsidR="00661E32">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48657536" w:rsid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774E70CE" w14:textId="77777777" w:rsidR="00661E32" w:rsidRPr="003165A6" w:rsidRDefault="00661E32" w:rsidP="00661E32">
      <w:pPr>
        <w:pStyle w:val="Odstavecseseznamem"/>
        <w:spacing w:before="60"/>
        <w:ind w:left="567"/>
        <w:contextualSpacing w:val="0"/>
        <w:jc w:val="both"/>
        <w:rPr>
          <w:rFonts w:ascii="Calibri" w:hAnsi="Calibri"/>
          <w:sz w:val="22"/>
          <w:szCs w:val="22"/>
        </w:rPr>
      </w:pPr>
    </w:p>
    <w:p w14:paraId="25ED6B55" w14:textId="4B1F3996" w:rsidR="0093542D" w:rsidRPr="00EA6866" w:rsidRDefault="00661E32" w:rsidP="00ED41A8">
      <w:pPr>
        <w:pStyle w:val="Zkladntext"/>
        <w:spacing w:before="60"/>
        <w:jc w:val="center"/>
        <w:rPr>
          <w:rFonts w:ascii="Calibri" w:hAnsi="Calibri"/>
          <w:b/>
          <w:sz w:val="22"/>
          <w:szCs w:val="22"/>
        </w:rPr>
      </w:pPr>
      <w:r>
        <w:rPr>
          <w:rFonts w:ascii="Calibri" w:hAnsi="Calibri"/>
          <w:b/>
          <w:sz w:val="22"/>
          <w:szCs w:val="22"/>
        </w:rPr>
        <w:lastRenderedPageBreak/>
        <w:t>IX.</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03FB8B2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C93D06">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661E32">
        <w:rPr>
          <w:rFonts w:asciiTheme="minorHAnsi" w:hAnsiTheme="minorHAnsi" w:cstheme="minorHAnsi"/>
          <w:kern w:val="1"/>
          <w:sz w:val="22"/>
          <w:szCs w:val="22"/>
        </w:rPr>
        <w:t>7</w:t>
      </w:r>
      <w:r w:rsidRPr="00495CC8">
        <w:rPr>
          <w:rFonts w:asciiTheme="minorHAnsi" w:hAnsiTheme="minorHAnsi" w:cstheme="minorHAnsi"/>
          <w:kern w:val="1"/>
          <w:sz w:val="22"/>
          <w:szCs w:val="22"/>
        </w:rPr>
        <w:t>.5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10B556EF"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C93D06">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661E32">
        <w:rPr>
          <w:rFonts w:asciiTheme="minorHAnsi" w:hAnsiTheme="minorHAnsi" w:cstheme="minorHAnsi"/>
          <w:kern w:val="1"/>
          <w:sz w:val="22"/>
          <w:szCs w:val="22"/>
        </w:rPr>
        <w:t>7</w:t>
      </w:r>
      <w:r w:rsidRPr="00495CC8">
        <w:rPr>
          <w:rFonts w:asciiTheme="minorHAnsi" w:hAnsiTheme="minorHAnsi" w:cstheme="minorHAnsi"/>
          <w:kern w:val="1"/>
          <w:sz w:val="22"/>
          <w:szCs w:val="22"/>
        </w:rPr>
        <w:t>.5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4E9E899" w:rsidR="007E57FA" w:rsidRDefault="00661E32" w:rsidP="002C232A">
      <w:pPr>
        <w:pStyle w:val="Zkladntext"/>
        <w:tabs>
          <w:tab w:val="left" w:pos="567"/>
        </w:tabs>
        <w:spacing w:before="60"/>
        <w:ind w:left="567"/>
        <w:jc w:val="center"/>
        <w:rPr>
          <w:rFonts w:ascii="Calibri" w:hAnsi="Calibri"/>
          <w:b/>
        </w:rPr>
      </w:pPr>
      <w:r>
        <w:rPr>
          <w:rFonts w:ascii="Calibri" w:hAnsi="Calibri"/>
          <w:b/>
        </w:rPr>
        <w:t>X.</w:t>
      </w:r>
    </w:p>
    <w:p w14:paraId="64AAC4A8" w14:textId="34922879" w:rsidR="00960BD5" w:rsidRDefault="00960BD5" w:rsidP="002C232A">
      <w:pPr>
        <w:pStyle w:val="Zkladntext"/>
        <w:tabs>
          <w:tab w:val="left" w:pos="567"/>
        </w:tabs>
        <w:spacing w:before="60"/>
        <w:ind w:left="567"/>
        <w:jc w:val="center"/>
        <w:rPr>
          <w:rFonts w:ascii="Calibri" w:hAnsi="Calibri"/>
          <w:b/>
        </w:rPr>
      </w:pPr>
      <w:r>
        <w:rPr>
          <w:rFonts w:ascii="Calibri" w:hAnsi="Calibri"/>
          <w:b/>
        </w:rPr>
        <w:t>Čestné prohlášení</w:t>
      </w:r>
    </w:p>
    <w:p w14:paraId="5ED52C3A"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 xml:space="preserve">Zhotovitel prohlašuje, že: </w:t>
      </w:r>
    </w:p>
    <w:p w14:paraId="330E9CA4" w14:textId="2F997E18"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w:t>
      </w:r>
      <w:r>
        <w:rPr>
          <w:rFonts w:ascii="Calibri" w:hAnsi="Calibri"/>
          <w:sz w:val="22"/>
          <w:szCs w:val="22"/>
        </w:rPr>
        <w:lastRenderedPageBreak/>
        <w:t>uvedenými orgány a institucemi, osobou, která je usídlena v zemi nebo založena podle práva země nebo území, které je cílem sankcí, nebo osobou, která je jinak předmětem sankcí („osoba podléhající sankcím“)</w:t>
      </w:r>
      <w:r w:rsidR="00DF6CBD">
        <w:rPr>
          <w:rFonts w:ascii="Calibri" w:hAnsi="Calibri"/>
          <w:sz w:val="22"/>
          <w:szCs w:val="22"/>
        </w:rPr>
        <w:t>;</w:t>
      </w:r>
      <w:r>
        <w:rPr>
          <w:rFonts w:ascii="Calibri" w:hAnsi="Calibri"/>
          <w:sz w:val="22"/>
          <w:szCs w:val="22"/>
        </w:rPr>
        <w:t xml:space="preserve"> </w:t>
      </w:r>
    </w:p>
    <w:p w14:paraId="529C04D0"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4671731C"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neobdržel oznámení ani si není jinak vědom, že by proti němu byl vznesen nárok, vedena žaloba, soudní spor, správní řízení nebo šetření ze strany v souvislosti se sankcemi</w:t>
      </w:r>
      <w:r w:rsidR="00BD6BCE">
        <w:rPr>
          <w:rFonts w:ascii="Calibri" w:hAnsi="Calibri"/>
          <w:sz w:val="22"/>
          <w:szCs w:val="22"/>
        </w:rPr>
        <w:t>.</w:t>
      </w:r>
    </w:p>
    <w:p w14:paraId="534C2AEE" w14:textId="38B473E6"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 xml:space="preserve"> V případě, že kdykoli v budoucnu dojde k porušení některého ze shora uvedených prohlášení, je Zhotovitel povinen oznámit tuto skutečnost bez zbytečného odkladu DPOV, a.s.</w:t>
      </w:r>
    </w:p>
    <w:p w14:paraId="2C17C195"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Pro případ, že 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266A31CB"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Porušení shora uvedených prohlášení se považuje za porušení smlouvy podstatným způsobem a opravňuje druhou smluvní stranu od smlouvy odstoupit.</w:t>
      </w:r>
    </w:p>
    <w:p w14:paraId="66277F4C" w14:textId="77777777" w:rsidR="00960BD5" w:rsidRDefault="00960BD5" w:rsidP="00960BD5">
      <w:pPr>
        <w:pStyle w:val="Zkladntext"/>
        <w:tabs>
          <w:tab w:val="left" w:pos="567"/>
        </w:tabs>
        <w:spacing w:before="60"/>
        <w:ind w:left="567"/>
        <w:rPr>
          <w:rFonts w:ascii="Calibri" w:hAnsi="Calibri"/>
          <w:b/>
        </w:rPr>
      </w:pPr>
    </w:p>
    <w:p w14:paraId="338CBD98" w14:textId="5C8D006F" w:rsidR="00960BD5" w:rsidRPr="00EA6866" w:rsidRDefault="00960BD5" w:rsidP="00661E32">
      <w:pPr>
        <w:pStyle w:val="Zkladntext"/>
        <w:tabs>
          <w:tab w:val="left" w:pos="567"/>
        </w:tabs>
        <w:spacing w:before="60"/>
        <w:jc w:val="center"/>
        <w:rPr>
          <w:rFonts w:ascii="Calibri" w:hAnsi="Calibri"/>
          <w:b/>
        </w:rPr>
      </w:pPr>
      <w:r>
        <w:rPr>
          <w:rFonts w:ascii="Calibri" w:hAnsi="Calibri"/>
          <w:b/>
        </w:rPr>
        <w:t>X</w:t>
      </w:r>
      <w:r w:rsidR="00661E32">
        <w:rPr>
          <w:rFonts w:ascii="Calibri" w:hAnsi="Calibri"/>
          <w:b/>
        </w:rPr>
        <w:t>I</w:t>
      </w:r>
      <w:r>
        <w:rPr>
          <w:rFonts w:ascii="Calibri" w:hAnsi="Calibri"/>
          <w:b/>
        </w:rPr>
        <w:t>.</w:t>
      </w:r>
    </w:p>
    <w:p w14:paraId="27E6348B" w14:textId="77777777" w:rsidR="007E57FA" w:rsidRDefault="007E57FA" w:rsidP="00661E32">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BD6BCE">
      <w:pPr>
        <w:pStyle w:val="Zkladntext"/>
        <w:numPr>
          <w:ilvl w:val="1"/>
          <w:numId w:val="38"/>
        </w:numPr>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BD6BCE">
      <w:pPr>
        <w:pStyle w:val="Zkladntext"/>
        <w:numPr>
          <w:ilvl w:val="1"/>
          <w:numId w:val="38"/>
        </w:numPr>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BD6BCE">
      <w:pPr>
        <w:pStyle w:val="Zkladntext"/>
        <w:numPr>
          <w:ilvl w:val="1"/>
          <w:numId w:val="38"/>
        </w:numPr>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BD6BCE">
      <w:pPr>
        <w:pStyle w:val="Zkladntext"/>
        <w:numPr>
          <w:ilvl w:val="1"/>
          <w:numId w:val="38"/>
        </w:numPr>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BD6BCE">
      <w:pPr>
        <w:pStyle w:val="Zkladntext"/>
        <w:numPr>
          <w:ilvl w:val="1"/>
          <w:numId w:val="38"/>
        </w:numPr>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BD6BCE">
      <w:pPr>
        <w:pStyle w:val="Zkladntext"/>
        <w:numPr>
          <w:ilvl w:val="1"/>
          <w:numId w:val="38"/>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lastRenderedPageBreak/>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BD6BCE">
      <w:pPr>
        <w:pStyle w:val="Odstavecseseznamem"/>
        <w:numPr>
          <w:ilvl w:val="1"/>
          <w:numId w:val="38"/>
        </w:numPr>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6B83D96F" w:rsidR="002B748B" w:rsidRDefault="001B02C8"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Pr="00BD6BCE" w:rsidRDefault="00AF25BE" w:rsidP="00BD6BCE">
      <w:pPr>
        <w:pStyle w:val="Zkladntext"/>
        <w:numPr>
          <w:ilvl w:val="1"/>
          <w:numId w:val="38"/>
        </w:numPr>
        <w:spacing w:before="60"/>
        <w:ind w:left="567" w:hanging="567"/>
        <w:rPr>
          <w:rFonts w:ascii="Calibri" w:hAnsi="Calibri"/>
          <w:sz w:val="22"/>
          <w:szCs w:val="22"/>
        </w:rPr>
      </w:pPr>
      <w:r w:rsidRPr="00BD6BCE">
        <w:rPr>
          <w:rFonts w:ascii="Calibri" w:hAnsi="Calibri"/>
          <w:sz w:val="22"/>
          <w:szCs w:val="22"/>
        </w:rPr>
        <w:t xml:space="preserve">Nedílnou součástí této </w:t>
      </w:r>
      <w:r w:rsidR="000E6719" w:rsidRPr="00BD6BCE">
        <w:rPr>
          <w:rFonts w:ascii="Calibri" w:hAnsi="Calibri"/>
          <w:sz w:val="22"/>
          <w:szCs w:val="22"/>
        </w:rPr>
        <w:t>Rámcové</w:t>
      </w:r>
      <w:r w:rsidR="00725475" w:rsidRPr="00BD6BCE">
        <w:rPr>
          <w:rFonts w:ascii="Calibri" w:hAnsi="Calibri"/>
          <w:sz w:val="22"/>
          <w:szCs w:val="22"/>
        </w:rPr>
        <w:t xml:space="preserve"> smlouvy </w:t>
      </w:r>
      <w:r w:rsidRPr="00BD6BCE">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14A4F6A" w14:textId="5A372E54" w:rsidR="00823470" w:rsidRDefault="00AF25BE" w:rsidP="00823470">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1F9380A" w14:textId="7245A7A9" w:rsidR="00823470" w:rsidRDefault="00823470" w:rsidP="00823470">
      <w:pPr>
        <w:pStyle w:val="Zkladntext"/>
        <w:ind w:left="540"/>
        <w:rPr>
          <w:rFonts w:ascii="Calibri" w:hAnsi="Calibri"/>
          <w:sz w:val="22"/>
          <w:szCs w:val="22"/>
        </w:rPr>
      </w:pPr>
      <w:r>
        <w:rPr>
          <w:rFonts w:ascii="Calibri" w:hAnsi="Calibri"/>
          <w:sz w:val="22"/>
          <w:szCs w:val="22"/>
        </w:rPr>
        <w:t xml:space="preserve">c) Příloha č. 3 </w:t>
      </w:r>
      <w:r w:rsidR="004E5DFC">
        <w:rPr>
          <w:rFonts w:ascii="Calibri" w:hAnsi="Calibri"/>
          <w:sz w:val="22"/>
          <w:szCs w:val="22"/>
        </w:rPr>
        <w:t>–</w:t>
      </w:r>
      <w:r>
        <w:rPr>
          <w:rFonts w:ascii="Calibri" w:hAnsi="Calibri"/>
          <w:sz w:val="22"/>
          <w:szCs w:val="22"/>
        </w:rPr>
        <w:t xml:space="preserve"> </w:t>
      </w:r>
      <w:r w:rsidR="004E5DFC">
        <w:rPr>
          <w:rFonts w:ascii="Calibri" w:hAnsi="Calibri"/>
          <w:sz w:val="22"/>
          <w:szCs w:val="22"/>
        </w:rPr>
        <w:t>Základní rozsah generální opravy převodovky</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49A35A81" w14:textId="1F93D9C3" w:rsidR="00FA1798" w:rsidRDefault="00345D76" w:rsidP="00BD6BCE">
      <w:pPr>
        <w:spacing w:before="60"/>
        <w:ind w:left="708" w:firstLine="993"/>
        <w:jc w:val="both"/>
        <w:rPr>
          <w:rFonts w:ascii="Arial" w:hAnsi="Arial" w:cs="Arial"/>
        </w:rPr>
      </w:pPr>
      <w:r>
        <w:rPr>
          <w:rFonts w:ascii="Calibri" w:hAnsi="Calibri"/>
          <w:sz w:val="22"/>
          <w:szCs w:val="22"/>
        </w:rPr>
        <w:t>člen představenstva</w:t>
      </w:r>
      <w:r w:rsidR="00FA1798">
        <w:rPr>
          <w:rFonts w:ascii="Arial" w:hAnsi="Arial" w:cs="Arial"/>
        </w:rPr>
        <w:br w:type="page"/>
      </w:r>
    </w:p>
    <w:p w14:paraId="47C73EFE" w14:textId="4C2BDBFD" w:rsidR="00E324FD" w:rsidRPr="00EA4690" w:rsidRDefault="00E324FD" w:rsidP="004E5DFC">
      <w:pPr>
        <w:pStyle w:val="Datum"/>
        <w:spacing w:line="276" w:lineRule="auto"/>
        <w:rPr>
          <w:rFonts w:ascii="Arial" w:hAnsi="Arial" w:cs="Arial"/>
          <w:b/>
          <w:bCs/>
        </w:rPr>
      </w:pPr>
      <w:r w:rsidRPr="00EA4690">
        <w:rPr>
          <w:rFonts w:ascii="Arial" w:hAnsi="Arial" w:cs="Arial"/>
          <w:b/>
          <w:bCs/>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w:t>
      </w:r>
      <w:r w:rsidRPr="002542DA">
        <w:rPr>
          <w:rFonts w:ascii="Arial" w:hAnsi="Arial" w:cs="Arial"/>
          <w:sz w:val="18"/>
        </w:rPr>
        <w:lastRenderedPageBreak/>
        <w:t>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lastRenderedPageBreak/>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F7643">
          <w:footerReference w:type="default" r:id="rId11"/>
          <w:footerReference w:type="first" r:id="rId12"/>
          <w:pgSz w:w="11906" w:h="16838"/>
          <w:pgMar w:top="851" w:right="849" w:bottom="1134"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A4690" w:rsidRDefault="00E324FD" w:rsidP="004E5DFC">
      <w:pPr>
        <w:rPr>
          <w:rFonts w:ascii="Arial" w:hAnsi="Arial" w:cs="Arial"/>
          <w:b/>
          <w:sz w:val="18"/>
          <w:szCs w:val="18"/>
        </w:rPr>
      </w:pPr>
      <w:r w:rsidRPr="00EA4690">
        <w:rPr>
          <w:rFonts w:ascii="Arial" w:hAnsi="Arial" w:cs="Arial"/>
          <w:b/>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70D8729C" w:rsidR="004E5DFC" w:rsidRDefault="004E5DFC">
      <w:pPr>
        <w:rPr>
          <w:rFonts w:ascii="Calibri" w:hAnsi="Calibri"/>
          <w:sz w:val="22"/>
        </w:rPr>
      </w:pPr>
      <w:r>
        <w:rPr>
          <w:rFonts w:ascii="Calibri" w:hAnsi="Calibri"/>
          <w:sz w:val="22"/>
        </w:rPr>
        <w:br w:type="page"/>
      </w:r>
    </w:p>
    <w:p w14:paraId="3AB1BB5D" w14:textId="2A56B488" w:rsidR="008908F1" w:rsidRPr="00EA4690" w:rsidRDefault="004E5DFC">
      <w:pPr>
        <w:rPr>
          <w:rFonts w:ascii="Arial" w:hAnsi="Arial" w:cs="Arial"/>
          <w:b/>
          <w:sz w:val="22"/>
          <w:szCs w:val="18"/>
        </w:rPr>
      </w:pPr>
      <w:r w:rsidRPr="00EA4690">
        <w:rPr>
          <w:rFonts w:ascii="Arial" w:hAnsi="Arial" w:cs="Arial"/>
          <w:b/>
          <w:sz w:val="22"/>
          <w:szCs w:val="18"/>
        </w:rPr>
        <w:lastRenderedPageBreak/>
        <w:t>Příloha č. 3 – Základní rozsah generální opravy převodovky</w:t>
      </w:r>
    </w:p>
    <w:p w14:paraId="3C47EB83" w14:textId="2E22D8A2" w:rsidR="004E5DFC" w:rsidRDefault="004E5DFC">
      <w:pPr>
        <w:rPr>
          <w:rFonts w:ascii="Arial" w:hAnsi="Arial" w:cs="Arial"/>
          <w:bCs/>
          <w:sz w:val="22"/>
          <w:szCs w:val="18"/>
        </w:rPr>
      </w:pPr>
    </w:p>
    <w:tbl>
      <w:tblPr>
        <w:tblStyle w:val="Mkatabulky"/>
        <w:tblW w:w="0" w:type="auto"/>
        <w:tblLook w:val="04A0" w:firstRow="1" w:lastRow="0" w:firstColumn="1" w:lastColumn="0" w:noHBand="0" w:noVBand="1"/>
      </w:tblPr>
      <w:tblGrid>
        <w:gridCol w:w="5097"/>
        <w:gridCol w:w="5097"/>
      </w:tblGrid>
      <w:tr w:rsidR="004E5DFC" w14:paraId="13049776" w14:textId="77777777" w:rsidTr="004E5DFC">
        <w:trPr>
          <w:gridAfter w:val="1"/>
          <w:wAfter w:w="5097" w:type="dxa"/>
        </w:trPr>
        <w:tc>
          <w:tcPr>
            <w:tcW w:w="5097" w:type="dxa"/>
            <w:vAlign w:val="center"/>
          </w:tcPr>
          <w:p w14:paraId="0C6C86F1" w14:textId="4A15BB0E" w:rsidR="004E5DFC" w:rsidRDefault="004E5DFC">
            <w:pPr>
              <w:rPr>
                <w:rFonts w:ascii="Arial" w:hAnsi="Arial" w:cs="Arial"/>
                <w:bCs/>
                <w:sz w:val="22"/>
                <w:szCs w:val="18"/>
              </w:rPr>
            </w:pPr>
            <w:r>
              <w:rPr>
                <w:rFonts w:ascii="Arial" w:hAnsi="Arial" w:cs="Arial"/>
                <w:bCs/>
                <w:sz w:val="22"/>
                <w:szCs w:val="18"/>
              </w:rPr>
              <w:t>Očištění převodovky, kompletní demontáž</w:t>
            </w:r>
          </w:p>
        </w:tc>
      </w:tr>
      <w:tr w:rsidR="004E5DFC" w14:paraId="167820F3" w14:textId="77777777" w:rsidTr="004E5DFC">
        <w:trPr>
          <w:gridAfter w:val="1"/>
          <w:wAfter w:w="5097" w:type="dxa"/>
        </w:trPr>
        <w:tc>
          <w:tcPr>
            <w:tcW w:w="5097" w:type="dxa"/>
            <w:vAlign w:val="center"/>
          </w:tcPr>
          <w:p w14:paraId="32334F2D" w14:textId="15B0A388" w:rsidR="004E5DFC" w:rsidRDefault="004E5DFC">
            <w:pPr>
              <w:rPr>
                <w:rFonts w:ascii="Arial" w:hAnsi="Arial" w:cs="Arial"/>
                <w:bCs/>
                <w:sz w:val="22"/>
                <w:szCs w:val="18"/>
              </w:rPr>
            </w:pPr>
            <w:r>
              <w:rPr>
                <w:rFonts w:ascii="Arial" w:hAnsi="Arial" w:cs="Arial"/>
                <w:bCs/>
                <w:sz w:val="22"/>
                <w:szCs w:val="18"/>
              </w:rPr>
              <w:t>O</w:t>
            </w:r>
            <w:r w:rsidRPr="004E5DFC">
              <w:rPr>
                <w:rFonts w:ascii="Arial" w:hAnsi="Arial" w:cs="Arial"/>
                <w:bCs/>
                <w:sz w:val="22"/>
                <w:szCs w:val="18"/>
              </w:rPr>
              <w:t>čistění, mytí všech dílů</w:t>
            </w:r>
          </w:p>
        </w:tc>
      </w:tr>
      <w:tr w:rsidR="004E5DFC" w14:paraId="3F00FD19" w14:textId="77777777" w:rsidTr="004E5DFC">
        <w:tc>
          <w:tcPr>
            <w:tcW w:w="5097" w:type="dxa"/>
            <w:vMerge w:val="restart"/>
            <w:vAlign w:val="center"/>
          </w:tcPr>
          <w:p w14:paraId="1994BEA8" w14:textId="097C81D8" w:rsidR="004E5DFC" w:rsidRDefault="004E5DFC">
            <w:pPr>
              <w:rPr>
                <w:rFonts w:ascii="Arial" w:hAnsi="Arial" w:cs="Arial"/>
                <w:bCs/>
                <w:sz w:val="22"/>
                <w:szCs w:val="18"/>
              </w:rPr>
            </w:pPr>
            <w:r>
              <w:rPr>
                <w:rFonts w:ascii="Arial" w:hAnsi="Arial" w:cs="Arial"/>
                <w:bCs/>
                <w:sz w:val="22"/>
                <w:szCs w:val="18"/>
              </w:rPr>
              <w:t>D</w:t>
            </w:r>
            <w:r w:rsidRPr="004E5DFC">
              <w:rPr>
                <w:rFonts w:ascii="Arial" w:hAnsi="Arial" w:cs="Arial"/>
                <w:bCs/>
                <w:sz w:val="22"/>
                <w:szCs w:val="18"/>
              </w:rPr>
              <w:t>osazení nových ND</w:t>
            </w:r>
          </w:p>
        </w:tc>
        <w:tc>
          <w:tcPr>
            <w:tcW w:w="5097" w:type="dxa"/>
          </w:tcPr>
          <w:p w14:paraId="7A62E53B" w14:textId="4AA4C9D8" w:rsidR="004E5DFC" w:rsidRDefault="004E5DFC">
            <w:pPr>
              <w:rPr>
                <w:rFonts w:ascii="Arial" w:hAnsi="Arial" w:cs="Arial"/>
                <w:bCs/>
                <w:sz w:val="22"/>
                <w:szCs w:val="18"/>
              </w:rPr>
            </w:pPr>
            <w:r w:rsidRPr="004E5DFC">
              <w:rPr>
                <w:rFonts w:ascii="Arial" w:hAnsi="Arial" w:cs="Arial"/>
                <w:bCs/>
                <w:sz w:val="22"/>
                <w:szCs w:val="18"/>
              </w:rPr>
              <w:t>kompletní sada těsnění a gufer na vstup a na výstupní hřídel, těsnění vany a všech vík,</w:t>
            </w:r>
          </w:p>
        </w:tc>
      </w:tr>
      <w:tr w:rsidR="004E5DFC" w14:paraId="14A8E974" w14:textId="77777777" w:rsidTr="004E5DFC">
        <w:tc>
          <w:tcPr>
            <w:tcW w:w="5097" w:type="dxa"/>
            <w:vMerge/>
            <w:vAlign w:val="center"/>
          </w:tcPr>
          <w:p w14:paraId="23FA7AE1" w14:textId="77777777" w:rsidR="004E5DFC" w:rsidRDefault="004E5DFC">
            <w:pPr>
              <w:rPr>
                <w:rFonts w:ascii="Arial" w:hAnsi="Arial" w:cs="Arial"/>
                <w:bCs/>
                <w:sz w:val="22"/>
                <w:szCs w:val="18"/>
              </w:rPr>
            </w:pPr>
          </w:p>
        </w:tc>
        <w:tc>
          <w:tcPr>
            <w:tcW w:w="5097" w:type="dxa"/>
          </w:tcPr>
          <w:p w14:paraId="5B48D890" w14:textId="45AB8C13" w:rsidR="004E5DFC" w:rsidRDefault="004E5DFC">
            <w:pPr>
              <w:rPr>
                <w:rFonts w:ascii="Arial" w:hAnsi="Arial" w:cs="Arial"/>
                <w:bCs/>
                <w:sz w:val="22"/>
                <w:szCs w:val="18"/>
              </w:rPr>
            </w:pPr>
            <w:r w:rsidRPr="004E5DFC">
              <w:rPr>
                <w:rFonts w:ascii="Arial" w:hAnsi="Arial" w:cs="Arial"/>
                <w:bCs/>
                <w:sz w:val="22"/>
                <w:szCs w:val="18"/>
              </w:rPr>
              <w:t>kompletní sada manžet a těsnících kroužků na písty lamel a potrubí,</w:t>
            </w:r>
          </w:p>
        </w:tc>
      </w:tr>
      <w:tr w:rsidR="004E5DFC" w14:paraId="488AFB49" w14:textId="77777777" w:rsidTr="004E5DFC">
        <w:tc>
          <w:tcPr>
            <w:tcW w:w="5097" w:type="dxa"/>
            <w:vMerge/>
            <w:vAlign w:val="center"/>
          </w:tcPr>
          <w:p w14:paraId="2F10B227" w14:textId="77777777" w:rsidR="004E5DFC" w:rsidRDefault="004E5DFC">
            <w:pPr>
              <w:rPr>
                <w:rFonts w:ascii="Arial" w:hAnsi="Arial" w:cs="Arial"/>
                <w:bCs/>
                <w:sz w:val="22"/>
                <w:szCs w:val="18"/>
              </w:rPr>
            </w:pPr>
          </w:p>
        </w:tc>
        <w:tc>
          <w:tcPr>
            <w:tcW w:w="5097" w:type="dxa"/>
          </w:tcPr>
          <w:p w14:paraId="2E8F3FAF" w14:textId="429A8082" w:rsidR="004E5DFC" w:rsidRDefault="004E5DFC">
            <w:pPr>
              <w:rPr>
                <w:rFonts w:ascii="Arial" w:hAnsi="Arial" w:cs="Arial"/>
                <w:bCs/>
                <w:sz w:val="22"/>
                <w:szCs w:val="18"/>
              </w:rPr>
            </w:pPr>
            <w:r w:rsidRPr="004E5DFC">
              <w:rPr>
                <w:rFonts w:ascii="Arial" w:hAnsi="Arial" w:cs="Arial"/>
                <w:bCs/>
                <w:sz w:val="22"/>
                <w:szCs w:val="18"/>
              </w:rPr>
              <w:t>kompletní sada ložisek na hřídele, satelity, měnič a turbínu,</w:t>
            </w:r>
          </w:p>
        </w:tc>
      </w:tr>
      <w:tr w:rsidR="004E5DFC" w14:paraId="392538DA" w14:textId="77777777" w:rsidTr="004E5DFC">
        <w:tc>
          <w:tcPr>
            <w:tcW w:w="5097" w:type="dxa"/>
            <w:vMerge/>
            <w:vAlign w:val="center"/>
          </w:tcPr>
          <w:p w14:paraId="16D6E9C7" w14:textId="77777777" w:rsidR="004E5DFC" w:rsidRDefault="004E5DFC">
            <w:pPr>
              <w:rPr>
                <w:rFonts w:ascii="Arial" w:hAnsi="Arial" w:cs="Arial"/>
                <w:bCs/>
                <w:sz w:val="22"/>
                <w:szCs w:val="18"/>
              </w:rPr>
            </w:pPr>
          </w:p>
        </w:tc>
        <w:tc>
          <w:tcPr>
            <w:tcW w:w="5097" w:type="dxa"/>
          </w:tcPr>
          <w:p w14:paraId="4DD32AFE" w14:textId="1A880CAE" w:rsidR="004E5DFC" w:rsidRDefault="004E5DFC">
            <w:pPr>
              <w:rPr>
                <w:rFonts w:ascii="Arial" w:hAnsi="Arial" w:cs="Arial"/>
                <w:bCs/>
                <w:sz w:val="22"/>
                <w:szCs w:val="18"/>
              </w:rPr>
            </w:pPr>
            <w:r w:rsidRPr="004E5DFC">
              <w:rPr>
                <w:rFonts w:ascii="Arial" w:hAnsi="Arial" w:cs="Arial"/>
                <w:bCs/>
                <w:sz w:val="22"/>
                <w:szCs w:val="18"/>
              </w:rPr>
              <w:t>kompletní sada pojistných kroužků,</w:t>
            </w:r>
          </w:p>
        </w:tc>
      </w:tr>
      <w:tr w:rsidR="004E5DFC" w14:paraId="66F202A3" w14:textId="77777777" w:rsidTr="004E5DFC">
        <w:tc>
          <w:tcPr>
            <w:tcW w:w="5097" w:type="dxa"/>
            <w:vMerge/>
            <w:vAlign w:val="center"/>
          </w:tcPr>
          <w:p w14:paraId="6402D038" w14:textId="77777777" w:rsidR="004E5DFC" w:rsidRDefault="004E5DFC">
            <w:pPr>
              <w:rPr>
                <w:rFonts w:ascii="Arial" w:hAnsi="Arial" w:cs="Arial"/>
                <w:bCs/>
                <w:sz w:val="22"/>
                <w:szCs w:val="18"/>
              </w:rPr>
            </w:pPr>
          </w:p>
        </w:tc>
        <w:tc>
          <w:tcPr>
            <w:tcW w:w="5097" w:type="dxa"/>
          </w:tcPr>
          <w:p w14:paraId="5AFAEA0E" w14:textId="766A59CE" w:rsidR="004E5DFC" w:rsidRDefault="004E5DFC">
            <w:pPr>
              <w:rPr>
                <w:rFonts w:ascii="Arial" w:hAnsi="Arial" w:cs="Arial"/>
                <w:bCs/>
                <w:sz w:val="22"/>
                <w:szCs w:val="18"/>
              </w:rPr>
            </w:pPr>
            <w:r w:rsidRPr="004E5DFC">
              <w:rPr>
                <w:rFonts w:ascii="Arial" w:hAnsi="Arial" w:cs="Arial"/>
                <w:bCs/>
                <w:sz w:val="22"/>
                <w:szCs w:val="18"/>
              </w:rPr>
              <w:t>kompletní sada vymezovacích podložek turbíny, satelitů, měničové skupiny,</w:t>
            </w:r>
          </w:p>
        </w:tc>
      </w:tr>
      <w:tr w:rsidR="004E5DFC" w14:paraId="37248156" w14:textId="77777777" w:rsidTr="004E5DFC">
        <w:tc>
          <w:tcPr>
            <w:tcW w:w="5097" w:type="dxa"/>
            <w:vMerge/>
            <w:vAlign w:val="center"/>
          </w:tcPr>
          <w:p w14:paraId="6D5C021A" w14:textId="77777777" w:rsidR="004E5DFC" w:rsidRDefault="004E5DFC">
            <w:pPr>
              <w:rPr>
                <w:rFonts w:ascii="Arial" w:hAnsi="Arial" w:cs="Arial"/>
                <w:bCs/>
                <w:sz w:val="22"/>
                <w:szCs w:val="18"/>
              </w:rPr>
            </w:pPr>
          </w:p>
        </w:tc>
        <w:tc>
          <w:tcPr>
            <w:tcW w:w="5097" w:type="dxa"/>
          </w:tcPr>
          <w:p w14:paraId="7DC985F2" w14:textId="582FDDF5" w:rsidR="004E5DFC" w:rsidRDefault="004E5DFC">
            <w:pPr>
              <w:rPr>
                <w:rFonts w:ascii="Arial" w:hAnsi="Arial" w:cs="Arial"/>
                <w:bCs/>
                <w:sz w:val="22"/>
                <w:szCs w:val="18"/>
              </w:rPr>
            </w:pPr>
            <w:r w:rsidRPr="004E5DFC">
              <w:rPr>
                <w:rFonts w:ascii="Arial" w:hAnsi="Arial" w:cs="Arial"/>
                <w:bCs/>
                <w:sz w:val="22"/>
                <w:szCs w:val="18"/>
              </w:rPr>
              <w:t>kompletní sada lamel do patřičných skupin,</w:t>
            </w:r>
          </w:p>
        </w:tc>
      </w:tr>
      <w:tr w:rsidR="004E5DFC" w14:paraId="13CB6BFF" w14:textId="77777777" w:rsidTr="004E5DFC">
        <w:tc>
          <w:tcPr>
            <w:tcW w:w="5097" w:type="dxa"/>
            <w:vMerge/>
            <w:vAlign w:val="center"/>
          </w:tcPr>
          <w:p w14:paraId="3F7803B5" w14:textId="77777777" w:rsidR="004E5DFC" w:rsidRDefault="004E5DFC">
            <w:pPr>
              <w:rPr>
                <w:rFonts w:ascii="Arial" w:hAnsi="Arial" w:cs="Arial"/>
                <w:bCs/>
                <w:sz w:val="22"/>
                <w:szCs w:val="18"/>
              </w:rPr>
            </w:pPr>
          </w:p>
        </w:tc>
        <w:tc>
          <w:tcPr>
            <w:tcW w:w="5097" w:type="dxa"/>
          </w:tcPr>
          <w:p w14:paraId="7A330ECB" w14:textId="34B8E054" w:rsidR="004E5DFC" w:rsidRPr="004E5DFC" w:rsidRDefault="004E5DFC">
            <w:pPr>
              <w:rPr>
                <w:rFonts w:ascii="Arial" w:hAnsi="Arial" w:cs="Arial"/>
                <w:bCs/>
                <w:sz w:val="22"/>
                <w:szCs w:val="18"/>
              </w:rPr>
            </w:pPr>
            <w:r w:rsidRPr="004E5DFC">
              <w:rPr>
                <w:rFonts w:ascii="Arial" w:hAnsi="Arial" w:cs="Arial"/>
                <w:bCs/>
                <w:sz w:val="22"/>
                <w:szCs w:val="18"/>
              </w:rPr>
              <w:t>olejové čerpadlo, turbína a měničová skupina,</w:t>
            </w:r>
          </w:p>
        </w:tc>
      </w:tr>
      <w:tr w:rsidR="004E5DFC" w14:paraId="04CF5495" w14:textId="77777777" w:rsidTr="004E5DFC">
        <w:tc>
          <w:tcPr>
            <w:tcW w:w="5097" w:type="dxa"/>
            <w:vMerge/>
            <w:vAlign w:val="center"/>
          </w:tcPr>
          <w:p w14:paraId="75C06324" w14:textId="77777777" w:rsidR="004E5DFC" w:rsidRDefault="004E5DFC">
            <w:pPr>
              <w:rPr>
                <w:rFonts w:ascii="Arial" w:hAnsi="Arial" w:cs="Arial"/>
                <w:bCs/>
                <w:sz w:val="22"/>
                <w:szCs w:val="18"/>
              </w:rPr>
            </w:pPr>
          </w:p>
        </w:tc>
        <w:tc>
          <w:tcPr>
            <w:tcW w:w="5097" w:type="dxa"/>
          </w:tcPr>
          <w:p w14:paraId="70A854EF" w14:textId="6A993FC9" w:rsidR="004E5DFC" w:rsidRPr="004E5DFC" w:rsidRDefault="004E5DFC">
            <w:pPr>
              <w:rPr>
                <w:rFonts w:ascii="Arial" w:hAnsi="Arial" w:cs="Arial"/>
                <w:bCs/>
                <w:sz w:val="22"/>
                <w:szCs w:val="18"/>
              </w:rPr>
            </w:pPr>
            <w:r w:rsidRPr="004E5DFC">
              <w:rPr>
                <w:rFonts w:ascii="Arial" w:hAnsi="Arial" w:cs="Arial"/>
                <w:bCs/>
                <w:sz w:val="22"/>
                <w:szCs w:val="18"/>
              </w:rPr>
              <w:t>sací koš, zpětné potrubí</w:t>
            </w:r>
          </w:p>
        </w:tc>
      </w:tr>
      <w:tr w:rsidR="004E5DFC" w14:paraId="79BC166A" w14:textId="77777777" w:rsidTr="004E5DFC">
        <w:tc>
          <w:tcPr>
            <w:tcW w:w="5097" w:type="dxa"/>
            <w:vMerge/>
            <w:vAlign w:val="center"/>
          </w:tcPr>
          <w:p w14:paraId="2BE8E56A" w14:textId="77777777" w:rsidR="004E5DFC" w:rsidRDefault="004E5DFC">
            <w:pPr>
              <w:rPr>
                <w:rFonts w:ascii="Arial" w:hAnsi="Arial" w:cs="Arial"/>
                <w:bCs/>
                <w:sz w:val="22"/>
                <w:szCs w:val="18"/>
              </w:rPr>
            </w:pPr>
          </w:p>
        </w:tc>
        <w:tc>
          <w:tcPr>
            <w:tcW w:w="5097" w:type="dxa"/>
          </w:tcPr>
          <w:p w14:paraId="20B5CE67" w14:textId="249B7F87" w:rsidR="004E5DFC" w:rsidRPr="004E5DFC" w:rsidRDefault="004E5DFC">
            <w:pPr>
              <w:rPr>
                <w:rFonts w:ascii="Arial" w:hAnsi="Arial" w:cs="Arial"/>
                <w:bCs/>
                <w:sz w:val="22"/>
                <w:szCs w:val="18"/>
              </w:rPr>
            </w:pPr>
            <w:r w:rsidRPr="004E5DFC">
              <w:rPr>
                <w:rFonts w:ascii="Arial" w:hAnsi="Arial" w:cs="Arial"/>
                <w:bCs/>
                <w:sz w:val="22"/>
                <w:szCs w:val="18"/>
              </w:rPr>
              <w:t>všechny tlakové hadice a olejový filtr,</w:t>
            </w:r>
          </w:p>
        </w:tc>
      </w:tr>
      <w:tr w:rsidR="004E5DFC" w14:paraId="59328625" w14:textId="77777777" w:rsidTr="004E5DFC">
        <w:tc>
          <w:tcPr>
            <w:tcW w:w="5097" w:type="dxa"/>
            <w:vMerge/>
            <w:vAlign w:val="center"/>
          </w:tcPr>
          <w:p w14:paraId="057E6FF7" w14:textId="77777777" w:rsidR="004E5DFC" w:rsidRDefault="004E5DFC">
            <w:pPr>
              <w:rPr>
                <w:rFonts w:ascii="Arial" w:hAnsi="Arial" w:cs="Arial"/>
                <w:bCs/>
                <w:sz w:val="22"/>
                <w:szCs w:val="18"/>
              </w:rPr>
            </w:pPr>
          </w:p>
        </w:tc>
        <w:tc>
          <w:tcPr>
            <w:tcW w:w="5097" w:type="dxa"/>
          </w:tcPr>
          <w:p w14:paraId="5E9A1C0A" w14:textId="1C78BD62" w:rsidR="004E5DFC" w:rsidRPr="004E5DFC" w:rsidRDefault="004E5DFC">
            <w:pPr>
              <w:rPr>
                <w:rFonts w:ascii="Arial" w:hAnsi="Arial" w:cs="Arial"/>
                <w:bCs/>
                <w:sz w:val="22"/>
                <w:szCs w:val="18"/>
              </w:rPr>
            </w:pPr>
            <w:r w:rsidRPr="004E5DFC">
              <w:rPr>
                <w:rFonts w:ascii="Arial" w:hAnsi="Arial" w:cs="Arial"/>
                <w:bCs/>
                <w:sz w:val="22"/>
                <w:szCs w:val="18"/>
              </w:rPr>
              <w:t>vnitřní kabeláž,</w:t>
            </w:r>
          </w:p>
        </w:tc>
      </w:tr>
      <w:tr w:rsidR="004E5DFC" w14:paraId="371FA5E7" w14:textId="77777777" w:rsidTr="004E5DFC">
        <w:tc>
          <w:tcPr>
            <w:tcW w:w="5097" w:type="dxa"/>
            <w:vMerge/>
            <w:vAlign w:val="center"/>
          </w:tcPr>
          <w:p w14:paraId="4C2AA5DE" w14:textId="77777777" w:rsidR="004E5DFC" w:rsidRDefault="004E5DFC">
            <w:pPr>
              <w:rPr>
                <w:rFonts w:ascii="Arial" w:hAnsi="Arial" w:cs="Arial"/>
                <w:bCs/>
                <w:sz w:val="22"/>
                <w:szCs w:val="18"/>
              </w:rPr>
            </w:pPr>
          </w:p>
        </w:tc>
        <w:tc>
          <w:tcPr>
            <w:tcW w:w="5097" w:type="dxa"/>
          </w:tcPr>
          <w:p w14:paraId="1B2A0C1E" w14:textId="054DAD12" w:rsidR="004E5DFC" w:rsidRPr="004E5DFC" w:rsidRDefault="004E5DFC">
            <w:pPr>
              <w:rPr>
                <w:rFonts w:ascii="Arial" w:hAnsi="Arial" w:cs="Arial"/>
                <w:bCs/>
                <w:sz w:val="22"/>
                <w:szCs w:val="18"/>
              </w:rPr>
            </w:pPr>
            <w:r w:rsidRPr="004E5DFC">
              <w:rPr>
                <w:rFonts w:ascii="Arial" w:hAnsi="Arial" w:cs="Arial"/>
                <w:bCs/>
                <w:sz w:val="22"/>
                <w:szCs w:val="18"/>
              </w:rPr>
              <w:t>vstupní hřídel převodovky,</w:t>
            </w:r>
          </w:p>
        </w:tc>
      </w:tr>
      <w:tr w:rsidR="004E5DFC" w14:paraId="7AB59260" w14:textId="77777777" w:rsidTr="004E5DFC">
        <w:trPr>
          <w:gridAfter w:val="1"/>
          <w:wAfter w:w="5097" w:type="dxa"/>
        </w:trPr>
        <w:tc>
          <w:tcPr>
            <w:tcW w:w="5097" w:type="dxa"/>
            <w:vAlign w:val="center"/>
          </w:tcPr>
          <w:p w14:paraId="72ED2AB0" w14:textId="1FF5043F" w:rsidR="004E5DFC" w:rsidRDefault="004E5DFC">
            <w:pPr>
              <w:rPr>
                <w:rFonts w:ascii="Arial" w:hAnsi="Arial" w:cs="Arial"/>
                <w:bCs/>
                <w:sz w:val="22"/>
                <w:szCs w:val="18"/>
              </w:rPr>
            </w:pPr>
            <w:r>
              <w:rPr>
                <w:rFonts w:ascii="Arial" w:hAnsi="Arial" w:cs="Arial"/>
                <w:bCs/>
                <w:sz w:val="22"/>
                <w:szCs w:val="18"/>
              </w:rPr>
              <w:t>K</w:t>
            </w:r>
            <w:r w:rsidRPr="004E5DFC">
              <w:rPr>
                <w:rFonts w:ascii="Arial" w:hAnsi="Arial" w:cs="Arial"/>
                <w:bCs/>
                <w:sz w:val="22"/>
                <w:szCs w:val="18"/>
              </w:rPr>
              <w:t>ontrola všech magnetických cívek, magnetických senzorů a teplotních čidel, příp. jejich výměna</w:t>
            </w:r>
          </w:p>
        </w:tc>
      </w:tr>
      <w:tr w:rsidR="004E5DFC" w14:paraId="1AECFF39" w14:textId="77777777" w:rsidTr="004E5DFC">
        <w:trPr>
          <w:gridAfter w:val="1"/>
          <w:wAfter w:w="5097" w:type="dxa"/>
        </w:trPr>
        <w:tc>
          <w:tcPr>
            <w:tcW w:w="5097" w:type="dxa"/>
            <w:vAlign w:val="center"/>
          </w:tcPr>
          <w:p w14:paraId="69D8219A" w14:textId="3897506C" w:rsidR="004E5DFC" w:rsidRDefault="004E5DFC">
            <w:pPr>
              <w:rPr>
                <w:rFonts w:ascii="Arial" w:hAnsi="Arial" w:cs="Arial"/>
                <w:bCs/>
                <w:sz w:val="22"/>
                <w:szCs w:val="18"/>
              </w:rPr>
            </w:pPr>
            <w:r>
              <w:rPr>
                <w:rFonts w:ascii="Arial" w:hAnsi="Arial" w:cs="Arial"/>
                <w:bCs/>
                <w:sz w:val="22"/>
                <w:szCs w:val="18"/>
              </w:rPr>
              <w:t>P</w:t>
            </w:r>
            <w:r w:rsidRPr="004E5DFC">
              <w:rPr>
                <w:rFonts w:ascii="Arial" w:hAnsi="Arial" w:cs="Arial"/>
                <w:bCs/>
                <w:sz w:val="22"/>
                <w:szCs w:val="18"/>
              </w:rPr>
              <w:t>rovedení kompletní montáže převodovky</w:t>
            </w:r>
          </w:p>
        </w:tc>
      </w:tr>
      <w:tr w:rsidR="004E5DFC" w14:paraId="7424E337" w14:textId="77777777" w:rsidTr="004E5DFC">
        <w:trPr>
          <w:gridAfter w:val="1"/>
          <w:wAfter w:w="5097" w:type="dxa"/>
        </w:trPr>
        <w:tc>
          <w:tcPr>
            <w:tcW w:w="5097" w:type="dxa"/>
            <w:vAlign w:val="center"/>
          </w:tcPr>
          <w:p w14:paraId="2456B0A8" w14:textId="7BFD1EE6" w:rsidR="004E5DFC" w:rsidRDefault="004E5DFC">
            <w:pPr>
              <w:rPr>
                <w:rFonts w:ascii="Arial" w:hAnsi="Arial" w:cs="Arial"/>
                <w:bCs/>
                <w:sz w:val="22"/>
                <w:szCs w:val="18"/>
              </w:rPr>
            </w:pPr>
            <w:r>
              <w:rPr>
                <w:rFonts w:ascii="Arial" w:hAnsi="Arial" w:cs="Arial"/>
                <w:bCs/>
                <w:sz w:val="22"/>
                <w:szCs w:val="18"/>
              </w:rPr>
              <w:t>O</w:t>
            </w:r>
            <w:r w:rsidRPr="004E5DFC">
              <w:rPr>
                <w:rFonts w:ascii="Arial" w:hAnsi="Arial" w:cs="Arial"/>
                <w:bCs/>
                <w:sz w:val="22"/>
                <w:szCs w:val="18"/>
              </w:rPr>
              <w:t>dzkoušení převodovky na zkušební stolici při provozní teplotě, kontrola požadovaných tlaků a procesu řazení</w:t>
            </w:r>
          </w:p>
        </w:tc>
      </w:tr>
      <w:tr w:rsidR="004E5DFC" w14:paraId="01591A0A" w14:textId="77777777" w:rsidTr="004E5DFC">
        <w:trPr>
          <w:gridAfter w:val="1"/>
          <w:wAfter w:w="5097" w:type="dxa"/>
        </w:trPr>
        <w:tc>
          <w:tcPr>
            <w:tcW w:w="5097" w:type="dxa"/>
            <w:vAlign w:val="center"/>
          </w:tcPr>
          <w:p w14:paraId="028FED47" w14:textId="1A52F7E7" w:rsidR="004E5DFC" w:rsidRDefault="004E5DFC">
            <w:pPr>
              <w:rPr>
                <w:rFonts w:ascii="Arial" w:hAnsi="Arial" w:cs="Arial"/>
                <w:bCs/>
                <w:sz w:val="22"/>
                <w:szCs w:val="18"/>
              </w:rPr>
            </w:pPr>
            <w:r>
              <w:rPr>
                <w:rFonts w:ascii="Arial" w:hAnsi="Arial" w:cs="Arial"/>
                <w:bCs/>
                <w:sz w:val="22"/>
                <w:szCs w:val="18"/>
              </w:rPr>
              <w:t>L</w:t>
            </w:r>
            <w:r w:rsidRPr="004E5DFC">
              <w:rPr>
                <w:rFonts w:ascii="Arial" w:hAnsi="Arial" w:cs="Arial"/>
                <w:bCs/>
                <w:sz w:val="22"/>
                <w:szCs w:val="18"/>
              </w:rPr>
              <w:t>akovaní převodovky</w:t>
            </w:r>
          </w:p>
        </w:tc>
      </w:tr>
    </w:tbl>
    <w:p w14:paraId="09DD82BD" w14:textId="77777777" w:rsidR="004E5DFC" w:rsidRPr="004E5DFC" w:rsidRDefault="004E5DFC">
      <w:pPr>
        <w:rPr>
          <w:rFonts w:ascii="Arial" w:hAnsi="Arial" w:cs="Arial"/>
          <w:bCs/>
          <w:sz w:val="22"/>
          <w:szCs w:val="18"/>
        </w:rPr>
      </w:pPr>
    </w:p>
    <w:sectPr w:rsidR="004E5DFC" w:rsidRPr="004E5DFC"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9F7A" w14:textId="77777777" w:rsidR="001870F6" w:rsidRDefault="001870F6">
      <w:r>
        <w:separator/>
      </w:r>
    </w:p>
  </w:endnote>
  <w:endnote w:type="continuationSeparator" w:id="0">
    <w:p w14:paraId="5677E857" w14:textId="77777777" w:rsidR="001870F6" w:rsidRDefault="001870F6">
      <w:r>
        <w:continuationSeparator/>
      </w:r>
    </w:p>
  </w:endnote>
  <w:endnote w:type="continuationNotice" w:id="1">
    <w:p w14:paraId="5147E7A6" w14:textId="77777777" w:rsidR="001870F6" w:rsidRDefault="00187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5A85" w14:textId="11906FB7" w:rsidR="006F7643" w:rsidRDefault="006F7643" w:rsidP="006F7643">
    <w:pPr>
      <w:pStyle w:val="Zpat"/>
      <w:pBdr>
        <w:top w:val="thinThickSmallGap" w:sz="24" w:space="1" w:color="622423"/>
      </w:pBdr>
      <w:tabs>
        <w:tab w:val="clear" w:pos="4536"/>
      </w:tabs>
      <w:outlineLvl w:val="3"/>
      <w:rPr>
        <w:rFonts w:ascii="Cambria" w:hAnsi="Cambria"/>
        <w:b/>
      </w:rPr>
    </w:pPr>
    <w:r>
      <w:rPr>
        <w:rFonts w:ascii="Cambria" w:hAnsi="Cambria"/>
        <w:b/>
      </w:rPr>
      <w:tab/>
    </w:r>
  </w:p>
  <w:p w14:paraId="1C73EA3C" w14:textId="6D1FAA9B" w:rsidR="00E324FD" w:rsidRDefault="006F7643" w:rsidP="00494EE0">
    <w:pPr>
      <w:pStyle w:val="Zpat"/>
      <w:jc w:val="right"/>
      <w:rPr>
        <w:sz w:val="16"/>
      </w:rPr>
    </w:pPr>
    <w:r>
      <w:rPr>
        <w:noProof/>
        <w:sz w:val="16"/>
      </w:rPr>
      <w:drawing>
        <wp:anchor distT="0" distB="0" distL="114300" distR="114300" simplePos="0" relativeHeight="251658752" behindDoc="1" locked="0" layoutInCell="1" allowOverlap="1" wp14:anchorId="72E0E355" wp14:editId="7785D6D0">
          <wp:simplePos x="0" y="0"/>
          <wp:positionH relativeFrom="column">
            <wp:posOffset>16510</wp:posOffset>
          </wp:positionH>
          <wp:positionV relativeFrom="paragraph">
            <wp:posOffset>-75565</wp:posOffset>
          </wp:positionV>
          <wp:extent cx="847843" cy="390580"/>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847843" cy="390580"/>
                  </a:xfrm>
                  <a:prstGeom prst="rect">
                    <a:avLst/>
                  </a:prstGeom>
                </pic:spPr>
              </pic:pic>
            </a:graphicData>
          </a:graphic>
        </wp:anchor>
      </w:drawing>
    </w:r>
    <w:r w:rsidR="00E324FD">
      <w:rPr>
        <w:sz w:val="16"/>
      </w:rPr>
      <w:t xml:space="preserve">Strana </w:t>
    </w:r>
    <w:r w:rsidR="00E324FD">
      <w:rPr>
        <w:rStyle w:val="slostrnky"/>
      </w:rPr>
      <w:fldChar w:fldCharType="begin"/>
    </w:r>
    <w:r w:rsidR="00E324FD">
      <w:rPr>
        <w:rStyle w:val="slostrnky"/>
      </w:rPr>
      <w:instrText xml:space="preserve"> PAGE </w:instrText>
    </w:r>
    <w:r w:rsidR="00E324FD">
      <w:rPr>
        <w:rStyle w:val="slostrnky"/>
      </w:rPr>
      <w:fldChar w:fldCharType="separate"/>
    </w:r>
    <w:r w:rsidR="00E324FD">
      <w:rPr>
        <w:rStyle w:val="slostrnky"/>
        <w:noProof/>
      </w:rPr>
      <w:t>1</w:t>
    </w:r>
    <w:r w:rsidR="00E324FD">
      <w:rPr>
        <w:rStyle w:val="slostrnky"/>
      </w:rPr>
      <w:fldChar w:fldCharType="end"/>
    </w:r>
    <w:r w:rsidR="00E324FD">
      <w:rPr>
        <w:rStyle w:val="slostrnky"/>
      </w:rPr>
      <w:t>/</w:t>
    </w:r>
    <w:r w:rsidR="00E324FD">
      <w:rPr>
        <w:rStyle w:val="slostrnky"/>
      </w:rPr>
      <w:fldChar w:fldCharType="begin"/>
    </w:r>
    <w:r w:rsidR="00E324FD">
      <w:rPr>
        <w:rStyle w:val="slostrnky"/>
      </w:rPr>
      <w:instrText xml:space="preserve"> NUMPAGES </w:instrText>
    </w:r>
    <w:r w:rsidR="00E324FD">
      <w:rPr>
        <w:rStyle w:val="slostrnky"/>
      </w:rPr>
      <w:fldChar w:fldCharType="separate"/>
    </w:r>
    <w:r w:rsidR="00E324FD">
      <w:rPr>
        <w:rStyle w:val="slostrnky"/>
        <w:noProof/>
      </w:rPr>
      <w:t>6</w:t>
    </w:r>
    <w:r w:rsidR="00E324F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C03E" w14:textId="77777777" w:rsidR="001870F6" w:rsidRDefault="001870F6">
      <w:r>
        <w:separator/>
      </w:r>
    </w:p>
  </w:footnote>
  <w:footnote w:type="continuationSeparator" w:id="0">
    <w:p w14:paraId="1D2D15FA" w14:textId="77777777" w:rsidR="001870F6" w:rsidRDefault="001870F6">
      <w:r>
        <w:continuationSeparator/>
      </w:r>
    </w:p>
  </w:footnote>
  <w:footnote w:type="continuationNotice" w:id="1">
    <w:p w14:paraId="4CDB189B" w14:textId="77777777" w:rsidR="001870F6" w:rsidRDefault="00187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1DA0080E"/>
    <w:lvl w:ilvl="0">
      <w:start w:val="10"/>
      <w:numFmt w:val="decimal"/>
      <w:lvlText w:val="%1"/>
      <w:lvlJc w:val="left"/>
      <w:pPr>
        <w:tabs>
          <w:tab w:val="num" w:pos="360"/>
        </w:tabs>
        <w:ind w:left="360" w:hanging="360"/>
      </w:pPr>
      <w:rPr>
        <w:rFonts w:hint="default"/>
      </w:rPr>
    </w:lvl>
    <w:lvl w:ilvl="1">
      <w:start w:val="1"/>
      <w:numFmt w:val="ordinal"/>
      <w:lvlText w:val="1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5B4B24"/>
    <w:multiLevelType w:val="multilevel"/>
    <w:tmpl w:val="CBDA119A"/>
    <w:lvl w:ilvl="0">
      <w:start w:val="10"/>
      <w:numFmt w:val="decimal"/>
      <w:lvlText w:val="%1"/>
      <w:lvlJc w:val="left"/>
      <w:pPr>
        <w:tabs>
          <w:tab w:val="num" w:pos="360"/>
        </w:tabs>
        <w:ind w:left="360" w:hanging="360"/>
      </w:pPr>
      <w:rPr>
        <w:rFonts w:hint="default"/>
      </w:rPr>
    </w:lvl>
    <w:lvl w:ilvl="1">
      <w:start w:val="1"/>
      <w:numFmt w:val="ordin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D6646C00"/>
    <w:lvl w:ilvl="0" w:tplc="5BA40B94">
      <w:start w:val="1"/>
      <w:numFmt w:val="decimal"/>
      <w:lvlText w:val="1.%1"/>
      <w:lvlJc w:val="left"/>
      <w:pPr>
        <w:ind w:left="720" w:hanging="360"/>
      </w:pPr>
      <w:rPr>
        <w:rFonts w:hint="default"/>
      </w:rPr>
    </w:lvl>
    <w:lvl w:ilvl="1" w:tplc="D2A23056">
      <w:start w:val="1"/>
      <w:numFmt w:val="lowerLetter"/>
      <w:lvlText w:val="%2."/>
      <w:lvlJc w:val="left"/>
      <w:pPr>
        <w:ind w:left="1440" w:hanging="360"/>
      </w:pPr>
      <w:rPr>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14956B6"/>
    <w:multiLevelType w:val="hybridMultilevel"/>
    <w:tmpl w:val="EDC646EE"/>
    <w:lvl w:ilvl="0" w:tplc="B426A24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8" w15:restartNumberingAfterBreak="0">
    <w:nsid w:val="48651A7C"/>
    <w:multiLevelType w:val="hybridMultilevel"/>
    <w:tmpl w:val="7C00AB7C"/>
    <w:lvl w:ilvl="0" w:tplc="74FC5272">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581982"/>
    <w:multiLevelType w:val="hybridMultilevel"/>
    <w:tmpl w:val="CCDED5B2"/>
    <w:lvl w:ilvl="0" w:tplc="5AB0A6AE">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7167251"/>
    <w:multiLevelType w:val="multilevel"/>
    <w:tmpl w:val="E92CF44E"/>
    <w:lvl w:ilvl="0">
      <w:start w:val="10"/>
      <w:numFmt w:val="decimal"/>
      <w:lvlText w:val="%1"/>
      <w:lvlJc w:val="left"/>
      <w:pPr>
        <w:tabs>
          <w:tab w:val="num" w:pos="360"/>
        </w:tabs>
        <w:ind w:left="360" w:hanging="360"/>
      </w:pPr>
      <w:rPr>
        <w:rFonts w:hint="default"/>
      </w:rPr>
    </w:lvl>
    <w:lvl w:ilvl="1">
      <w:start w:val="1"/>
      <w:numFmt w:val="ordinal"/>
      <w:lvlText w:val="10.%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012087"/>
    <w:multiLevelType w:val="multilevel"/>
    <w:tmpl w:val="AC082354"/>
    <w:lvl w:ilvl="0">
      <w:start w:val="1"/>
      <w:numFmt w:val="decimal"/>
      <w:lvlText w:val="1.%1"/>
      <w:lvlJc w:val="left"/>
      <w:pPr>
        <w:tabs>
          <w:tab w:val="num" w:pos="360"/>
        </w:tabs>
        <w:ind w:left="360" w:hanging="360"/>
      </w:pPr>
      <w:rPr>
        <w:rFonts w:hint="default"/>
      </w:rPr>
    </w:lvl>
    <w:lvl w:ilvl="1">
      <w:start w:val="1"/>
      <w:numFmt w:val="decimal"/>
      <w:lvlText w:val="6.%2."/>
      <w:lvlJc w:val="left"/>
      <w:pPr>
        <w:ind w:left="502" w:hanging="360"/>
      </w:pPr>
      <w:rPr>
        <w:rFonts w:hint="default"/>
        <w:b w:val="0"/>
        <w:bCs/>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35"/>
  </w:num>
  <w:num w:numId="3" w16cid:durableId="68431590">
    <w:abstractNumId w:val="18"/>
  </w:num>
  <w:num w:numId="4" w16cid:durableId="1219634351">
    <w:abstractNumId w:val="34"/>
  </w:num>
  <w:num w:numId="5" w16cid:durableId="538592075">
    <w:abstractNumId w:val="26"/>
  </w:num>
  <w:num w:numId="6" w16cid:durableId="977996142">
    <w:abstractNumId w:val="21"/>
  </w:num>
  <w:num w:numId="7" w16cid:durableId="78334294">
    <w:abstractNumId w:val="28"/>
  </w:num>
  <w:num w:numId="8" w16cid:durableId="606666850">
    <w:abstractNumId w:val="16"/>
  </w:num>
  <w:num w:numId="9" w16cid:durableId="1355040088">
    <w:abstractNumId w:val="25"/>
  </w:num>
  <w:num w:numId="10" w16cid:durableId="566650118">
    <w:abstractNumId w:val="33"/>
  </w:num>
  <w:num w:numId="11" w16cid:durableId="1587422224">
    <w:abstractNumId w:val="23"/>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2"/>
  </w:num>
  <w:num w:numId="26" w16cid:durableId="1382821920">
    <w:abstractNumId w:val="37"/>
  </w:num>
  <w:num w:numId="27" w16cid:durableId="1912350721">
    <w:abstractNumId w:val="17"/>
  </w:num>
  <w:num w:numId="28" w16cid:durableId="1445224824">
    <w:abstractNumId w:val="14"/>
  </w:num>
  <w:num w:numId="29" w16cid:durableId="1780876303">
    <w:abstractNumId w:val="36"/>
  </w:num>
  <w:num w:numId="30" w16cid:durableId="2065596065">
    <w:abstractNumId w:val="31"/>
  </w:num>
  <w:num w:numId="31" w16cid:durableId="286206441">
    <w:abstractNumId w:val="38"/>
  </w:num>
  <w:num w:numId="32" w16cid:durableId="1476072307">
    <w:abstractNumId w:val="12"/>
  </w:num>
  <w:num w:numId="33" w16cid:durableId="979917469">
    <w:abstractNumId w:val="29"/>
  </w:num>
  <w:num w:numId="34" w16cid:durableId="1471510952">
    <w:abstractNumId w:val="27"/>
  </w:num>
  <w:num w:numId="35" w16cid:durableId="1769504759">
    <w:abstractNumId w:val="15"/>
  </w:num>
  <w:num w:numId="36" w16cid:durableId="2122146320">
    <w:abstractNumId w:val="24"/>
  </w:num>
  <w:num w:numId="37" w16cid:durableId="1467426467">
    <w:abstractNumId w:val="33"/>
  </w:num>
  <w:num w:numId="38" w16cid:durableId="1485776877">
    <w:abstractNumId w:val="13"/>
  </w:num>
  <w:num w:numId="39" w16cid:durableId="107442606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08F"/>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54DD"/>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0C6"/>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870F6"/>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3D0A"/>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3EF1"/>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0FF3"/>
    <w:rsid w:val="00282074"/>
    <w:rsid w:val="002825AF"/>
    <w:rsid w:val="0028482A"/>
    <w:rsid w:val="0028613E"/>
    <w:rsid w:val="002861B0"/>
    <w:rsid w:val="00286488"/>
    <w:rsid w:val="002866DC"/>
    <w:rsid w:val="00286E0B"/>
    <w:rsid w:val="00287AF6"/>
    <w:rsid w:val="00292F13"/>
    <w:rsid w:val="00294456"/>
    <w:rsid w:val="0029505E"/>
    <w:rsid w:val="00297461"/>
    <w:rsid w:val="002A365F"/>
    <w:rsid w:val="002A3FFF"/>
    <w:rsid w:val="002A5279"/>
    <w:rsid w:val="002A52B7"/>
    <w:rsid w:val="002A560C"/>
    <w:rsid w:val="002A5911"/>
    <w:rsid w:val="002A658E"/>
    <w:rsid w:val="002B2E57"/>
    <w:rsid w:val="002B6F08"/>
    <w:rsid w:val="002B71ED"/>
    <w:rsid w:val="002B748B"/>
    <w:rsid w:val="002C0448"/>
    <w:rsid w:val="002C12AE"/>
    <w:rsid w:val="002C232A"/>
    <w:rsid w:val="002C31FA"/>
    <w:rsid w:val="002C6ADA"/>
    <w:rsid w:val="002C7317"/>
    <w:rsid w:val="002D0731"/>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120"/>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3AA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454F"/>
    <w:rsid w:val="00486978"/>
    <w:rsid w:val="004875D8"/>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DFC"/>
    <w:rsid w:val="004E5F90"/>
    <w:rsid w:val="004F05B3"/>
    <w:rsid w:val="004F2CD1"/>
    <w:rsid w:val="004F2E51"/>
    <w:rsid w:val="004F3A1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5A85"/>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18E1"/>
    <w:rsid w:val="00652870"/>
    <w:rsid w:val="00655035"/>
    <w:rsid w:val="006566AD"/>
    <w:rsid w:val="00656D8F"/>
    <w:rsid w:val="00656E39"/>
    <w:rsid w:val="0065707E"/>
    <w:rsid w:val="00661486"/>
    <w:rsid w:val="00661E32"/>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2FC2"/>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6F7643"/>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470"/>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38A8"/>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440B"/>
    <w:rsid w:val="008A574D"/>
    <w:rsid w:val="008A596C"/>
    <w:rsid w:val="008A6761"/>
    <w:rsid w:val="008B36A6"/>
    <w:rsid w:val="008B4351"/>
    <w:rsid w:val="008C046B"/>
    <w:rsid w:val="008C0B12"/>
    <w:rsid w:val="008C12D8"/>
    <w:rsid w:val="008C19F0"/>
    <w:rsid w:val="008C4B85"/>
    <w:rsid w:val="008C7FA4"/>
    <w:rsid w:val="008D656D"/>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42F8"/>
    <w:rsid w:val="0093542D"/>
    <w:rsid w:val="0093740A"/>
    <w:rsid w:val="00937DF2"/>
    <w:rsid w:val="0094012B"/>
    <w:rsid w:val="00941661"/>
    <w:rsid w:val="00944527"/>
    <w:rsid w:val="009469C6"/>
    <w:rsid w:val="009527A6"/>
    <w:rsid w:val="0095350C"/>
    <w:rsid w:val="0095461A"/>
    <w:rsid w:val="00954A9E"/>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3AF"/>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10B"/>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9D9"/>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57B6F"/>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A7E65"/>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D6BC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57B2B"/>
    <w:rsid w:val="00C65A9B"/>
    <w:rsid w:val="00C66DB1"/>
    <w:rsid w:val="00C761A9"/>
    <w:rsid w:val="00C81CE9"/>
    <w:rsid w:val="00C84ED9"/>
    <w:rsid w:val="00C85294"/>
    <w:rsid w:val="00C8690C"/>
    <w:rsid w:val="00C87B52"/>
    <w:rsid w:val="00C92483"/>
    <w:rsid w:val="00C9291B"/>
    <w:rsid w:val="00C92AE9"/>
    <w:rsid w:val="00C93030"/>
    <w:rsid w:val="00C93D06"/>
    <w:rsid w:val="00C9537B"/>
    <w:rsid w:val="00C95C0E"/>
    <w:rsid w:val="00CA0B1D"/>
    <w:rsid w:val="00CA1323"/>
    <w:rsid w:val="00CA47BA"/>
    <w:rsid w:val="00CA5E35"/>
    <w:rsid w:val="00CA720C"/>
    <w:rsid w:val="00CA734E"/>
    <w:rsid w:val="00CA7B7D"/>
    <w:rsid w:val="00CA7DDE"/>
    <w:rsid w:val="00CB3A28"/>
    <w:rsid w:val="00CB4C89"/>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0D0F"/>
    <w:rsid w:val="00DB2370"/>
    <w:rsid w:val="00DB3D51"/>
    <w:rsid w:val="00DB4754"/>
    <w:rsid w:val="00DB50E2"/>
    <w:rsid w:val="00DB693D"/>
    <w:rsid w:val="00DC279D"/>
    <w:rsid w:val="00DC35B5"/>
    <w:rsid w:val="00DC4307"/>
    <w:rsid w:val="00DC4D11"/>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6CBD"/>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B8F"/>
    <w:rsid w:val="00E93811"/>
    <w:rsid w:val="00E96E9D"/>
    <w:rsid w:val="00EA1CD5"/>
    <w:rsid w:val="00EA3F9D"/>
    <w:rsid w:val="00EA4690"/>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498">
      <w:bodyDiv w:val="1"/>
      <w:marLeft w:val="0"/>
      <w:marRight w:val="0"/>
      <w:marTop w:val="0"/>
      <w:marBottom w:val="0"/>
      <w:divBdr>
        <w:top w:val="none" w:sz="0" w:space="0" w:color="auto"/>
        <w:left w:val="none" w:sz="0" w:space="0" w:color="auto"/>
        <w:bottom w:val="none" w:sz="0" w:space="0" w:color="auto"/>
        <w:right w:val="none" w:sz="0" w:space="0" w:color="auto"/>
      </w:divBdr>
    </w:div>
    <w:div w:id="186453009">
      <w:bodyDiv w:val="1"/>
      <w:marLeft w:val="0"/>
      <w:marRight w:val="0"/>
      <w:marTop w:val="0"/>
      <w:marBottom w:val="0"/>
      <w:divBdr>
        <w:top w:val="none" w:sz="0" w:space="0" w:color="auto"/>
        <w:left w:val="none" w:sz="0" w:space="0" w:color="auto"/>
        <w:bottom w:val="none" w:sz="0" w:space="0" w:color="auto"/>
        <w:right w:val="none" w:sz="0" w:space="0" w:color="auto"/>
      </w:divBdr>
    </w:div>
    <w:div w:id="609122318">
      <w:bodyDiv w:val="1"/>
      <w:marLeft w:val="0"/>
      <w:marRight w:val="0"/>
      <w:marTop w:val="0"/>
      <w:marBottom w:val="0"/>
      <w:divBdr>
        <w:top w:val="none" w:sz="0" w:space="0" w:color="auto"/>
        <w:left w:val="none" w:sz="0" w:space="0" w:color="auto"/>
        <w:bottom w:val="none" w:sz="0" w:space="0" w:color="auto"/>
        <w:right w:val="none" w:sz="0" w:space="0" w:color="auto"/>
      </w:divBdr>
    </w:div>
    <w:div w:id="627587444">
      <w:bodyDiv w:val="1"/>
      <w:marLeft w:val="0"/>
      <w:marRight w:val="0"/>
      <w:marTop w:val="0"/>
      <w:marBottom w:val="0"/>
      <w:divBdr>
        <w:top w:val="none" w:sz="0" w:space="0" w:color="auto"/>
        <w:left w:val="none" w:sz="0" w:space="0" w:color="auto"/>
        <w:bottom w:val="none" w:sz="0" w:space="0" w:color="auto"/>
        <w:right w:val="none" w:sz="0" w:space="0" w:color="auto"/>
      </w:divBdr>
    </w:div>
    <w:div w:id="741410600">
      <w:bodyDiv w:val="1"/>
      <w:marLeft w:val="0"/>
      <w:marRight w:val="0"/>
      <w:marTop w:val="0"/>
      <w:marBottom w:val="0"/>
      <w:divBdr>
        <w:top w:val="none" w:sz="0" w:space="0" w:color="auto"/>
        <w:left w:val="none" w:sz="0" w:space="0" w:color="auto"/>
        <w:bottom w:val="none" w:sz="0" w:space="0" w:color="auto"/>
        <w:right w:val="none" w:sz="0" w:space="0" w:color="auto"/>
      </w:divBdr>
    </w:div>
    <w:div w:id="809983895">
      <w:bodyDiv w:val="1"/>
      <w:marLeft w:val="0"/>
      <w:marRight w:val="0"/>
      <w:marTop w:val="0"/>
      <w:marBottom w:val="0"/>
      <w:divBdr>
        <w:top w:val="none" w:sz="0" w:space="0" w:color="auto"/>
        <w:left w:val="none" w:sz="0" w:space="0" w:color="auto"/>
        <w:bottom w:val="none" w:sz="0" w:space="0" w:color="auto"/>
        <w:right w:val="none" w:sz="0" w:space="0" w:color="auto"/>
      </w:divBdr>
    </w:div>
    <w:div w:id="823668417">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068529277">
      <w:bodyDiv w:val="1"/>
      <w:marLeft w:val="0"/>
      <w:marRight w:val="0"/>
      <w:marTop w:val="0"/>
      <w:marBottom w:val="0"/>
      <w:divBdr>
        <w:top w:val="none" w:sz="0" w:space="0" w:color="auto"/>
        <w:left w:val="none" w:sz="0" w:space="0" w:color="auto"/>
        <w:bottom w:val="none" w:sz="0" w:space="0" w:color="auto"/>
        <w:right w:val="none" w:sz="0" w:space="0" w:color="auto"/>
      </w:divBdr>
    </w:div>
    <w:div w:id="1134175289">
      <w:bodyDiv w:val="1"/>
      <w:marLeft w:val="0"/>
      <w:marRight w:val="0"/>
      <w:marTop w:val="0"/>
      <w:marBottom w:val="0"/>
      <w:divBdr>
        <w:top w:val="none" w:sz="0" w:space="0" w:color="auto"/>
        <w:left w:val="none" w:sz="0" w:space="0" w:color="auto"/>
        <w:bottom w:val="none" w:sz="0" w:space="0" w:color="auto"/>
        <w:right w:val="none" w:sz="0" w:space="0" w:color="auto"/>
      </w:divBdr>
    </w:div>
    <w:div w:id="1140882713">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511025456">
      <w:bodyDiv w:val="1"/>
      <w:marLeft w:val="0"/>
      <w:marRight w:val="0"/>
      <w:marTop w:val="0"/>
      <w:marBottom w:val="0"/>
      <w:divBdr>
        <w:top w:val="none" w:sz="0" w:space="0" w:color="auto"/>
        <w:left w:val="none" w:sz="0" w:space="0" w:color="auto"/>
        <w:bottom w:val="none" w:sz="0" w:space="0" w:color="auto"/>
        <w:right w:val="none" w:sz="0" w:space="0" w:color="auto"/>
      </w:divBdr>
    </w:div>
    <w:div w:id="1903907231">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1945844920">
      <w:bodyDiv w:val="1"/>
      <w:marLeft w:val="0"/>
      <w:marRight w:val="0"/>
      <w:marTop w:val="0"/>
      <w:marBottom w:val="0"/>
      <w:divBdr>
        <w:top w:val="none" w:sz="0" w:space="0" w:color="auto"/>
        <w:left w:val="none" w:sz="0" w:space="0" w:color="auto"/>
        <w:bottom w:val="none" w:sz="0" w:space="0" w:color="auto"/>
        <w:right w:val="none" w:sz="0" w:space="0" w:color="auto"/>
      </w:divBdr>
    </w:div>
    <w:div w:id="1972708196">
      <w:bodyDiv w:val="1"/>
      <w:marLeft w:val="0"/>
      <w:marRight w:val="0"/>
      <w:marTop w:val="0"/>
      <w:marBottom w:val="0"/>
      <w:divBdr>
        <w:top w:val="none" w:sz="0" w:space="0" w:color="auto"/>
        <w:left w:val="none" w:sz="0" w:space="0" w:color="auto"/>
        <w:bottom w:val="none" w:sz="0" w:space="0" w:color="auto"/>
        <w:right w:val="none" w:sz="0" w:space="0" w:color="auto"/>
      </w:divBdr>
    </w:div>
    <w:div w:id="199355833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2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12191</Words>
  <Characters>72786</Characters>
  <Application>Microsoft Office Word</Application>
  <DocSecurity>0</DocSecurity>
  <Lines>606</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3</cp:revision>
  <cp:lastPrinted>2020-07-03T11:42:00Z</cp:lastPrinted>
  <dcterms:created xsi:type="dcterms:W3CDTF">2022-07-18T06:40:00Z</dcterms:created>
  <dcterms:modified xsi:type="dcterms:W3CDTF">2022-07-19T11:30:00Z</dcterms:modified>
</cp:coreProperties>
</file>