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15E253D4"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05708F">
        <w:rPr>
          <w:rFonts w:ascii="Calibri" w:hAnsi="Calibri"/>
          <w:b/>
          <w:caps/>
          <w:szCs w:val="24"/>
        </w:rPr>
        <w:t>05-175/2022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74C6111D"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 xml:space="preserve">Ing. Radek Návrat, </w:t>
      </w:r>
      <w:r w:rsidR="008E51D9">
        <w:rPr>
          <w:rFonts w:ascii="Calibri" w:hAnsi="Calibri"/>
          <w:sz w:val="22"/>
          <w:szCs w:val="22"/>
        </w:rPr>
        <w:t>ředitel odboru projekční kanceláře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4981F282" w:rsidR="002677D7" w:rsidRDefault="002677D7" w:rsidP="00A61671">
      <w:pPr>
        <w:rPr>
          <w:rStyle w:val="platne1"/>
          <w:rFonts w:ascii="Calibri" w:hAnsi="Calibri"/>
          <w:sz w:val="22"/>
          <w:szCs w:val="22"/>
        </w:rPr>
      </w:pPr>
    </w:p>
    <w:p w14:paraId="19413062" w14:textId="77777777" w:rsidR="00912921" w:rsidRPr="00CE72FD" w:rsidRDefault="00912921"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4B2C2ACF" w14:textId="42B80A9F" w:rsidR="00823470" w:rsidRPr="00B339D9" w:rsidRDefault="00A513AF" w:rsidP="00B339D9">
      <w:pPr>
        <w:numPr>
          <w:ilvl w:val="0"/>
          <w:numId w:val="6"/>
        </w:numPr>
        <w:spacing w:before="60"/>
        <w:ind w:left="567" w:hanging="567"/>
        <w:jc w:val="both"/>
        <w:rPr>
          <w:rFonts w:ascii="Calibri" w:hAnsi="Calibri"/>
          <w:sz w:val="22"/>
          <w:szCs w:val="22"/>
        </w:rPr>
      </w:pPr>
      <w:r>
        <w:rPr>
          <w:rFonts w:ascii="Calibri" w:hAnsi="Calibri"/>
          <w:sz w:val="22"/>
          <w:szCs w:val="22"/>
        </w:rPr>
        <w:t xml:space="preserve">Zhotovitel se uzavřením této Rámcové smlouvy zavazuje, že pro Objednatele bude provádět na svůj náklad a své nebezpečí, řádně a včas na základě jednotlivých Dílčích smluv, uzavřených mezi Objednatelem a Zhotovitelem postupem předvídaným v čl. II této Rámcové smlouvy, jednotlivá Díla spočívající v provedení </w:t>
      </w:r>
      <w:r w:rsidR="001320C6">
        <w:rPr>
          <w:rFonts w:ascii="Calibri" w:hAnsi="Calibri"/>
          <w:sz w:val="22"/>
          <w:szCs w:val="22"/>
        </w:rPr>
        <w:t xml:space="preserve">generální </w:t>
      </w:r>
      <w:r>
        <w:rPr>
          <w:rFonts w:ascii="Calibri" w:hAnsi="Calibri"/>
          <w:sz w:val="22"/>
          <w:szCs w:val="22"/>
        </w:rPr>
        <w:t xml:space="preserve">opravy převodovek </w:t>
      </w:r>
      <w:proofErr w:type="spellStart"/>
      <w:r w:rsidRPr="00A513AF">
        <w:rPr>
          <w:rFonts w:ascii="Calibri" w:hAnsi="Calibri"/>
          <w:sz w:val="22"/>
          <w:szCs w:val="22"/>
        </w:rPr>
        <w:t>Voith</w:t>
      </w:r>
      <w:proofErr w:type="spellEnd"/>
      <w:r w:rsidRPr="00A513AF">
        <w:rPr>
          <w:rFonts w:ascii="Calibri" w:hAnsi="Calibri"/>
          <w:sz w:val="22"/>
          <w:szCs w:val="22"/>
        </w:rPr>
        <w:t xml:space="preserve"> DIWA z vozidel ř. 814</w:t>
      </w:r>
      <w:r w:rsidR="00823470">
        <w:rPr>
          <w:rFonts w:ascii="Calibri" w:hAnsi="Calibri"/>
          <w:sz w:val="22"/>
          <w:szCs w:val="22"/>
        </w:rPr>
        <w:t xml:space="preserve"> </w:t>
      </w:r>
      <w:r>
        <w:rPr>
          <w:rFonts w:ascii="Calibri" w:hAnsi="Calibri"/>
          <w:sz w:val="22"/>
          <w:szCs w:val="22"/>
        </w:rPr>
        <w:t xml:space="preserve">(dále </w:t>
      </w:r>
      <w:r w:rsidR="00AC310B">
        <w:rPr>
          <w:rFonts w:ascii="Calibri" w:hAnsi="Calibri"/>
          <w:sz w:val="22"/>
          <w:szCs w:val="22"/>
        </w:rPr>
        <w:t>též jako „</w:t>
      </w:r>
      <w:r w:rsidR="00AC310B" w:rsidRPr="00AC310B">
        <w:rPr>
          <w:rFonts w:ascii="Calibri" w:hAnsi="Calibri"/>
          <w:b/>
          <w:bCs/>
          <w:i/>
          <w:iCs/>
          <w:sz w:val="22"/>
          <w:szCs w:val="22"/>
        </w:rPr>
        <w:t>Věc</w:t>
      </w:r>
      <w:r w:rsidR="00AC310B">
        <w:rPr>
          <w:rFonts w:ascii="Calibri" w:hAnsi="Calibri"/>
          <w:sz w:val="22"/>
          <w:szCs w:val="22"/>
        </w:rPr>
        <w:t>“ nebo</w:t>
      </w:r>
      <w:r>
        <w:rPr>
          <w:rFonts w:ascii="Calibri" w:hAnsi="Calibri"/>
          <w:sz w:val="22"/>
          <w:szCs w:val="22"/>
        </w:rPr>
        <w:t xml:space="preserve"> „</w:t>
      </w:r>
      <w:r>
        <w:rPr>
          <w:rFonts w:ascii="Calibri" w:hAnsi="Calibri"/>
          <w:b/>
          <w:bCs/>
          <w:i/>
          <w:iCs/>
          <w:sz w:val="22"/>
          <w:szCs w:val="22"/>
        </w:rPr>
        <w:t>Dílo</w:t>
      </w:r>
      <w:r>
        <w:rPr>
          <w:rFonts w:ascii="Calibri" w:hAnsi="Calibri"/>
          <w:sz w:val="22"/>
          <w:szCs w:val="22"/>
        </w:rPr>
        <w:t>“)</w:t>
      </w:r>
      <w:r w:rsidR="00306120">
        <w:rPr>
          <w:rFonts w:ascii="Calibri" w:hAnsi="Calibri"/>
          <w:sz w:val="22"/>
          <w:szCs w:val="22"/>
        </w:rPr>
        <w:t xml:space="preserve"> a zavazuje se převést na Objednatele vlastnické právo k Dílu, přičemž Objednatel se zavazuje, že Dílo prosté jakýchkoliv vad a nedodělků převezme a zaplatí za něj cenu sjednanou v příslušné Dílčí smlouvě za podmínek této Rámcové smlouvy.</w:t>
      </w:r>
    </w:p>
    <w:p w14:paraId="4351DA20" w14:textId="7C3D5508" w:rsidR="004F3A11" w:rsidRDefault="004F3A11" w:rsidP="00E324FD">
      <w:pPr>
        <w:numPr>
          <w:ilvl w:val="0"/>
          <w:numId w:val="6"/>
        </w:numPr>
        <w:spacing w:before="60"/>
        <w:ind w:left="567" w:hanging="567"/>
        <w:jc w:val="both"/>
        <w:rPr>
          <w:rFonts w:ascii="Calibri" w:hAnsi="Calibri"/>
          <w:sz w:val="22"/>
          <w:szCs w:val="22"/>
        </w:rPr>
      </w:pPr>
      <w:r>
        <w:rPr>
          <w:rFonts w:ascii="Calibri" w:hAnsi="Calibri"/>
          <w:sz w:val="22"/>
          <w:szCs w:val="22"/>
        </w:rPr>
        <w:t xml:space="preserve">Smluvní strany se dohodly, že generální oprava převodovek </w:t>
      </w:r>
      <w:proofErr w:type="spellStart"/>
      <w:r w:rsidRPr="008D656D">
        <w:rPr>
          <w:rFonts w:ascii="Calibri" w:hAnsi="Calibri"/>
          <w:sz w:val="22"/>
          <w:szCs w:val="22"/>
        </w:rPr>
        <w:t>Voith</w:t>
      </w:r>
      <w:proofErr w:type="spellEnd"/>
      <w:r w:rsidRPr="008D656D">
        <w:rPr>
          <w:rFonts w:ascii="Calibri" w:hAnsi="Calibri"/>
          <w:sz w:val="22"/>
          <w:szCs w:val="22"/>
        </w:rPr>
        <w:t xml:space="preserve"> DIWA z vozidel ř. 814</w:t>
      </w:r>
      <w:r>
        <w:rPr>
          <w:rFonts w:ascii="Calibri" w:hAnsi="Calibri"/>
          <w:sz w:val="22"/>
          <w:szCs w:val="22"/>
        </w:rPr>
        <w:t xml:space="preserve"> dle předchozího odstavce bude spočívat v:</w:t>
      </w:r>
    </w:p>
    <w:p w14:paraId="1C13C0A6" w14:textId="60B3E802" w:rsidR="004F3A11" w:rsidRDefault="00823470" w:rsidP="004F3A11">
      <w:pPr>
        <w:numPr>
          <w:ilvl w:val="1"/>
          <w:numId w:val="6"/>
        </w:numPr>
        <w:spacing w:before="60"/>
        <w:jc w:val="both"/>
        <w:rPr>
          <w:rFonts w:ascii="Calibri" w:hAnsi="Calibri"/>
          <w:sz w:val="22"/>
          <w:szCs w:val="22"/>
        </w:rPr>
      </w:pPr>
      <w:r>
        <w:rPr>
          <w:rFonts w:ascii="Calibri" w:hAnsi="Calibri"/>
          <w:sz w:val="22"/>
          <w:szCs w:val="22"/>
        </w:rPr>
        <w:t xml:space="preserve">základním rozsahu </w:t>
      </w:r>
      <w:r w:rsidR="004E5DFC">
        <w:rPr>
          <w:rFonts w:ascii="Calibri" w:hAnsi="Calibri"/>
          <w:sz w:val="22"/>
          <w:szCs w:val="22"/>
        </w:rPr>
        <w:t xml:space="preserve">generální </w:t>
      </w:r>
      <w:r>
        <w:rPr>
          <w:rFonts w:ascii="Calibri" w:hAnsi="Calibri"/>
          <w:sz w:val="22"/>
          <w:szCs w:val="22"/>
        </w:rPr>
        <w:t>oprav</w:t>
      </w:r>
      <w:r w:rsidR="004E5DFC">
        <w:rPr>
          <w:rFonts w:ascii="Calibri" w:hAnsi="Calibri"/>
          <w:sz w:val="22"/>
          <w:szCs w:val="22"/>
        </w:rPr>
        <w:t>y</w:t>
      </w:r>
      <w:r>
        <w:rPr>
          <w:rFonts w:ascii="Calibri" w:hAnsi="Calibri"/>
          <w:sz w:val="22"/>
          <w:szCs w:val="22"/>
        </w:rPr>
        <w:t xml:space="preserve">, který je blíže specifikovaný v Příloze č. </w:t>
      </w:r>
      <w:r w:rsidR="004E5DFC">
        <w:rPr>
          <w:rFonts w:ascii="Calibri" w:hAnsi="Calibri"/>
          <w:sz w:val="22"/>
          <w:szCs w:val="22"/>
        </w:rPr>
        <w:t>3</w:t>
      </w:r>
      <w:r>
        <w:rPr>
          <w:rFonts w:ascii="Calibri" w:hAnsi="Calibri"/>
          <w:sz w:val="22"/>
          <w:szCs w:val="22"/>
        </w:rPr>
        <w:t xml:space="preserve"> této Rámcové smlouvy, a</w:t>
      </w:r>
    </w:p>
    <w:p w14:paraId="113F7E5B" w14:textId="640B1F1A" w:rsidR="00EA4690" w:rsidRPr="00EA4690" w:rsidRDefault="00823470" w:rsidP="00EA4690">
      <w:pPr>
        <w:numPr>
          <w:ilvl w:val="1"/>
          <w:numId w:val="6"/>
        </w:numPr>
        <w:spacing w:before="60"/>
        <w:jc w:val="both"/>
        <w:rPr>
          <w:rFonts w:ascii="Calibri" w:hAnsi="Calibri"/>
          <w:sz w:val="22"/>
          <w:szCs w:val="22"/>
        </w:rPr>
      </w:pPr>
      <w:r>
        <w:rPr>
          <w:rFonts w:ascii="Calibri" w:hAnsi="Calibri"/>
          <w:sz w:val="22"/>
          <w:szCs w:val="22"/>
        </w:rPr>
        <w:t>souvisejících opravárenských prací – aktualizace SW pro zajištěné bezchybné funkce opravené převodovky.</w:t>
      </w:r>
    </w:p>
    <w:p w14:paraId="5397F47D" w14:textId="5CACB83D" w:rsidR="00EA4690" w:rsidRDefault="00EA4690" w:rsidP="00E324FD">
      <w:pPr>
        <w:numPr>
          <w:ilvl w:val="0"/>
          <w:numId w:val="6"/>
        </w:numPr>
        <w:spacing w:before="60"/>
        <w:ind w:left="567" w:hanging="567"/>
        <w:jc w:val="both"/>
        <w:rPr>
          <w:rFonts w:ascii="Calibri" w:hAnsi="Calibri"/>
          <w:sz w:val="22"/>
          <w:szCs w:val="22"/>
        </w:rPr>
      </w:pPr>
      <w:r>
        <w:rPr>
          <w:rFonts w:ascii="Calibri" w:hAnsi="Calibri"/>
          <w:sz w:val="22"/>
          <w:szCs w:val="22"/>
        </w:rPr>
        <w:t>Konkrétní specifikace Díla bude vždy sjednána v příslušné Dílčí smlouvě uzavřené mezi Objednatelem a Zhotovitelem na základě této Rámcové smlouvy (dále též jako „</w:t>
      </w:r>
      <w:r>
        <w:rPr>
          <w:rFonts w:ascii="Calibri" w:hAnsi="Calibri"/>
          <w:b/>
          <w:bCs/>
          <w:i/>
          <w:iCs/>
          <w:sz w:val="22"/>
          <w:szCs w:val="22"/>
        </w:rPr>
        <w:t>Dílčí smlouva</w:t>
      </w:r>
      <w:r>
        <w:rPr>
          <w:rFonts w:ascii="Calibri" w:hAnsi="Calibri"/>
          <w:sz w:val="22"/>
          <w:szCs w:val="22"/>
        </w:rPr>
        <w:t>“).</w:t>
      </w:r>
    </w:p>
    <w:p w14:paraId="00DBF4EF" w14:textId="629EC0FB" w:rsidR="008D656D" w:rsidRDefault="002A560C" w:rsidP="00E324FD">
      <w:pPr>
        <w:numPr>
          <w:ilvl w:val="0"/>
          <w:numId w:val="6"/>
        </w:numPr>
        <w:spacing w:before="60"/>
        <w:ind w:left="567" w:hanging="567"/>
        <w:jc w:val="both"/>
        <w:rPr>
          <w:rFonts w:ascii="Calibri" w:hAnsi="Calibri"/>
          <w:sz w:val="22"/>
          <w:szCs w:val="22"/>
        </w:rPr>
      </w:pPr>
      <w:r>
        <w:rPr>
          <w:rFonts w:ascii="Calibri" w:hAnsi="Calibri"/>
          <w:sz w:val="22"/>
          <w:szCs w:val="22"/>
        </w:rPr>
        <w:t>Předpokládaný</w:t>
      </w:r>
      <w:r w:rsidR="008D656D">
        <w:rPr>
          <w:rFonts w:ascii="Calibri" w:hAnsi="Calibri"/>
          <w:sz w:val="22"/>
          <w:szCs w:val="22"/>
        </w:rPr>
        <w:t xml:space="preserve"> rozsah plnění spočívající v opravě </w:t>
      </w:r>
      <w:r w:rsidR="00DC4D11">
        <w:rPr>
          <w:rFonts w:ascii="Calibri" w:hAnsi="Calibri"/>
          <w:sz w:val="22"/>
          <w:szCs w:val="22"/>
        </w:rPr>
        <w:t xml:space="preserve">převodovek </w:t>
      </w:r>
      <w:proofErr w:type="spellStart"/>
      <w:r w:rsidR="008D656D" w:rsidRPr="008D656D">
        <w:rPr>
          <w:rFonts w:ascii="Calibri" w:hAnsi="Calibri"/>
          <w:sz w:val="22"/>
          <w:szCs w:val="22"/>
        </w:rPr>
        <w:t>Voith</w:t>
      </w:r>
      <w:proofErr w:type="spellEnd"/>
      <w:r w:rsidR="008D656D" w:rsidRPr="008D656D">
        <w:rPr>
          <w:rFonts w:ascii="Calibri" w:hAnsi="Calibri"/>
          <w:sz w:val="22"/>
          <w:szCs w:val="22"/>
        </w:rPr>
        <w:t xml:space="preserve"> DIWA z vozidel ř. 814</w:t>
      </w:r>
      <w:r w:rsidR="00DC4D11">
        <w:rPr>
          <w:rFonts w:ascii="Calibri" w:hAnsi="Calibri"/>
          <w:sz w:val="22"/>
          <w:szCs w:val="22"/>
        </w:rPr>
        <w:t xml:space="preserve"> je</w:t>
      </w:r>
      <w:r w:rsidR="00EA4690" w:rsidRPr="00EA4690">
        <w:rPr>
          <w:rFonts w:ascii="Calibri" w:hAnsi="Calibri"/>
          <w:sz w:val="22"/>
          <w:szCs w:val="22"/>
        </w:rPr>
        <w:t xml:space="preserve"> </w:t>
      </w:r>
      <w:r w:rsidR="00EA4690">
        <w:rPr>
          <w:rFonts w:ascii="Calibri" w:hAnsi="Calibri"/>
          <w:sz w:val="22"/>
          <w:szCs w:val="22"/>
        </w:rPr>
        <w:t>v roce 2022</w:t>
      </w:r>
      <w:r w:rsidR="008D656D">
        <w:rPr>
          <w:rFonts w:ascii="Calibri" w:hAnsi="Calibri"/>
          <w:sz w:val="22"/>
          <w:szCs w:val="22"/>
        </w:rPr>
        <w:t xml:space="preserve"> </w:t>
      </w:r>
      <w:r>
        <w:rPr>
          <w:rFonts w:ascii="Calibri" w:hAnsi="Calibri"/>
          <w:sz w:val="22"/>
          <w:szCs w:val="22"/>
        </w:rPr>
        <w:t>v celkovém počtu 5 ks.</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4E9DA31" w:rsidR="00233302" w:rsidRDefault="00233302" w:rsidP="00AE7921">
      <w:pPr>
        <w:spacing w:before="60"/>
        <w:ind w:left="567"/>
        <w:jc w:val="center"/>
        <w:rPr>
          <w:rStyle w:val="platne1"/>
          <w:rFonts w:ascii="Calibri" w:hAnsi="Calibri"/>
          <w:sz w:val="22"/>
          <w:szCs w:val="22"/>
        </w:rPr>
      </w:pPr>
    </w:p>
    <w:p w14:paraId="4A648BA7" w14:textId="77777777" w:rsidR="00912921" w:rsidRDefault="00912921"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5A57F2FB"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DC4D11" w:rsidRPr="00DC4D11">
        <w:rPr>
          <w:rFonts w:ascii="Calibri" w:hAnsi="Calibri"/>
          <w:sz w:val="22"/>
          <w:szCs w:val="22"/>
        </w:rPr>
        <w:t>Odbor</w:t>
      </w:r>
      <w:r w:rsidR="00DC4D11">
        <w:rPr>
          <w:rFonts w:ascii="Calibri" w:hAnsi="Calibri"/>
          <w:sz w:val="22"/>
          <w:szCs w:val="22"/>
        </w:rPr>
        <w:t>u</w:t>
      </w:r>
      <w:r w:rsidR="00DC4D11" w:rsidRPr="00DC4D11">
        <w:rPr>
          <w:rFonts w:ascii="Calibri" w:hAnsi="Calibri"/>
          <w:sz w:val="22"/>
          <w:szCs w:val="22"/>
        </w:rPr>
        <w:t xml:space="preserve"> nákupu a zásobování</w:t>
      </w:r>
      <w:r w:rsidR="00DC4D11">
        <w:rPr>
          <w:rFonts w:ascii="Calibri" w:hAnsi="Calibri"/>
          <w:sz w:val="22"/>
          <w:szCs w:val="22"/>
        </w:rPr>
        <w:t xml:space="preserve"> </w:t>
      </w:r>
      <w:r w:rsidR="001D3D0A" w:rsidRPr="00801B74">
        <w:rPr>
          <w:rFonts w:ascii="Calibri" w:hAnsi="Calibri"/>
          <w:szCs w:val="24"/>
        </w:rPr>
        <w:t>(MTZ)</w:t>
      </w:r>
      <w:r w:rsidR="00B339D9">
        <w:rPr>
          <w:rFonts w:ascii="Calibri" w:hAnsi="Calibri"/>
          <w:szCs w:val="24"/>
        </w:rPr>
        <w:t xml:space="preserve"> </w:t>
      </w:r>
      <w:r w:rsidRPr="00E73EF2">
        <w:rPr>
          <w:rFonts w:ascii="Calibri" w:hAnsi="Calibri"/>
          <w:sz w:val="22"/>
          <w:szCs w:val="22"/>
        </w:rPr>
        <w:t>O</w:t>
      </w:r>
      <w:r w:rsidRPr="00233302">
        <w:rPr>
          <w:rFonts w:ascii="Calibri" w:hAnsi="Calibri"/>
          <w:sz w:val="22"/>
          <w:szCs w:val="22"/>
        </w:rPr>
        <w:t>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019B904"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333CDF2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5F28B9A2" w:rsidR="00174E2D" w:rsidRDefault="00174E2D" w:rsidP="00B56245">
      <w:pPr>
        <w:spacing w:before="60"/>
        <w:jc w:val="both"/>
        <w:rPr>
          <w:rFonts w:ascii="Calibri" w:hAnsi="Calibri"/>
          <w:sz w:val="22"/>
          <w:szCs w:val="22"/>
        </w:rPr>
      </w:pPr>
    </w:p>
    <w:p w14:paraId="38665970" w14:textId="77777777" w:rsidR="00912921" w:rsidRPr="00565EA9" w:rsidRDefault="00912921"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66E14A07"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w:t>
      </w:r>
      <w:r w:rsidR="000E215D" w:rsidRPr="00F77F6B">
        <w:rPr>
          <w:rFonts w:ascii="Calibri" w:hAnsi="Calibri"/>
          <w:sz w:val="22"/>
          <w:szCs w:val="22"/>
        </w:rPr>
        <w:t xml:space="preserve">Smluvní strany se dohodly, že </w:t>
      </w:r>
      <w:r w:rsidR="005D6068" w:rsidRPr="00F77F6B">
        <w:rPr>
          <w:rFonts w:ascii="Calibri" w:hAnsi="Calibri"/>
          <w:sz w:val="22"/>
          <w:szCs w:val="22"/>
        </w:rPr>
        <w:t>lhůta pro</w:t>
      </w:r>
      <w:r w:rsidR="0072250A" w:rsidRPr="00F77F6B">
        <w:rPr>
          <w:rFonts w:ascii="Calibri" w:hAnsi="Calibri"/>
          <w:sz w:val="22"/>
          <w:szCs w:val="22"/>
        </w:rPr>
        <w:t xml:space="preserve"> </w:t>
      </w:r>
      <w:r w:rsidR="005D6068" w:rsidRPr="00F77F6B">
        <w:rPr>
          <w:rFonts w:ascii="Calibri" w:hAnsi="Calibri"/>
          <w:sz w:val="22"/>
          <w:szCs w:val="22"/>
        </w:rPr>
        <w:t>provedení díla</w:t>
      </w:r>
      <w:r w:rsidR="0072250A" w:rsidRPr="00F77F6B">
        <w:rPr>
          <w:rFonts w:ascii="Calibri" w:hAnsi="Calibri"/>
          <w:sz w:val="22"/>
          <w:szCs w:val="22"/>
        </w:rPr>
        <w:t xml:space="preserve"> je</w:t>
      </w:r>
      <w:proofErr w:type="gramStart"/>
      <w:r w:rsidR="0072250A" w:rsidRPr="00F77F6B">
        <w:rPr>
          <w:rFonts w:ascii="Calibri" w:hAnsi="Calibri"/>
          <w:sz w:val="22"/>
          <w:szCs w:val="22"/>
        </w:rPr>
        <w:t xml:space="preserve"> </w:t>
      </w:r>
      <w:r w:rsidR="008838A8">
        <w:rPr>
          <w:rFonts w:ascii="Calibri" w:hAnsi="Calibri"/>
          <w:sz w:val="22"/>
          <w:szCs w:val="22"/>
        </w:rPr>
        <w:t>….</w:t>
      </w:r>
      <w:proofErr w:type="gramEnd"/>
      <w:r w:rsidR="008838A8">
        <w:rPr>
          <w:rFonts w:ascii="Calibri" w:hAnsi="Calibri"/>
          <w:sz w:val="22"/>
          <w:szCs w:val="22"/>
        </w:rPr>
        <w:t xml:space="preserve">. dnů od doručení objednávky. </w:t>
      </w:r>
    </w:p>
    <w:p w14:paraId="65D73782" w14:textId="18596709" w:rsidR="008838A8" w:rsidRPr="009342F8" w:rsidRDefault="008838A8" w:rsidP="008838A8">
      <w:pPr>
        <w:pStyle w:val="Odstavecseseznamem"/>
        <w:numPr>
          <w:ilvl w:val="0"/>
          <w:numId w:val="5"/>
        </w:numPr>
        <w:spacing w:before="60"/>
        <w:ind w:left="567" w:hanging="567"/>
        <w:contextualSpacing w:val="0"/>
        <w:jc w:val="both"/>
        <w:rPr>
          <w:rFonts w:ascii="Calibri" w:hAnsi="Calibri"/>
          <w:sz w:val="22"/>
          <w:szCs w:val="22"/>
        </w:rPr>
      </w:pPr>
      <w:r w:rsidRPr="009342F8">
        <w:rPr>
          <w:rFonts w:ascii="Calibri" w:hAnsi="Calibri"/>
          <w:sz w:val="22"/>
          <w:szCs w:val="22"/>
        </w:rPr>
        <w:t>Objednatel předpokládá následující harmonogram oprav:</w:t>
      </w:r>
    </w:p>
    <w:p w14:paraId="38D28F93" w14:textId="77777777" w:rsidR="008838A8" w:rsidRDefault="008838A8" w:rsidP="008838A8">
      <w:pPr>
        <w:pStyle w:val="Odstavecseseznamem"/>
        <w:spacing w:before="60"/>
        <w:ind w:left="567"/>
        <w:contextualSpacing w:val="0"/>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1555"/>
        <w:gridCol w:w="1353"/>
      </w:tblGrid>
      <w:tr w:rsidR="00494968" w14:paraId="0D48812E" w14:textId="77777777" w:rsidTr="008838A8">
        <w:tc>
          <w:tcPr>
            <w:tcW w:w="2908" w:type="dxa"/>
            <w:gridSpan w:val="2"/>
          </w:tcPr>
          <w:p w14:paraId="27F21626" w14:textId="48863CCD" w:rsidR="00494968" w:rsidRDefault="00494968" w:rsidP="00494968">
            <w:pPr>
              <w:pStyle w:val="Odstavecseseznamem"/>
              <w:spacing w:before="60"/>
              <w:ind w:left="0"/>
              <w:contextualSpacing w:val="0"/>
              <w:jc w:val="both"/>
              <w:rPr>
                <w:rFonts w:ascii="Calibri" w:hAnsi="Calibri"/>
                <w:sz w:val="22"/>
                <w:szCs w:val="22"/>
              </w:rPr>
            </w:pPr>
            <w:r>
              <w:rPr>
                <w:rFonts w:ascii="Calibri" w:hAnsi="Calibri"/>
                <w:sz w:val="22"/>
                <w:szCs w:val="22"/>
              </w:rPr>
              <w:t>Harmonogram oprav</w:t>
            </w:r>
          </w:p>
        </w:tc>
      </w:tr>
      <w:tr w:rsidR="008838A8" w14:paraId="7E706CE8" w14:textId="77777777" w:rsidTr="008838A8">
        <w:tc>
          <w:tcPr>
            <w:tcW w:w="1555" w:type="dxa"/>
          </w:tcPr>
          <w:p w14:paraId="63751E11" w14:textId="14A260AC" w:rsidR="008838A8" w:rsidRDefault="008838A8" w:rsidP="008838A8">
            <w:pPr>
              <w:pStyle w:val="Odstavecseseznamem"/>
              <w:spacing w:before="60"/>
              <w:ind w:left="0"/>
              <w:contextualSpacing w:val="0"/>
              <w:jc w:val="both"/>
              <w:rPr>
                <w:bCs/>
                <w:sz w:val="22"/>
                <w:szCs w:val="22"/>
              </w:rPr>
            </w:pPr>
            <w:r w:rsidRPr="00D70641">
              <w:rPr>
                <w:bCs/>
                <w:sz w:val="22"/>
                <w:szCs w:val="22"/>
              </w:rPr>
              <w:t>Převodovka</w:t>
            </w:r>
            <w:r>
              <w:rPr>
                <w:bCs/>
                <w:sz w:val="22"/>
                <w:szCs w:val="22"/>
              </w:rPr>
              <w:t xml:space="preserve"> 3 ks</w:t>
            </w:r>
          </w:p>
          <w:p w14:paraId="31907F3A" w14:textId="346355C4" w:rsidR="008838A8" w:rsidRPr="00483C98" w:rsidRDefault="008838A8" w:rsidP="008838A8">
            <w:pPr>
              <w:pStyle w:val="Odstavecseseznamem"/>
              <w:spacing w:before="60"/>
              <w:ind w:left="0"/>
              <w:contextualSpacing w:val="0"/>
              <w:jc w:val="both"/>
              <w:rPr>
                <w:rFonts w:ascii="Calibri" w:hAnsi="Calibri"/>
                <w:sz w:val="22"/>
                <w:szCs w:val="22"/>
              </w:rPr>
            </w:pPr>
          </w:p>
        </w:tc>
        <w:tc>
          <w:tcPr>
            <w:tcW w:w="1353" w:type="dxa"/>
          </w:tcPr>
          <w:p w14:paraId="0F6DB2C8" w14:textId="77908C29" w:rsidR="008838A8" w:rsidRDefault="008838A8" w:rsidP="008838A8">
            <w:pPr>
              <w:pStyle w:val="Odstavecseseznamem"/>
              <w:spacing w:before="60"/>
              <w:ind w:left="0"/>
              <w:contextualSpacing w:val="0"/>
              <w:jc w:val="both"/>
              <w:rPr>
                <w:rFonts w:ascii="Calibri" w:hAnsi="Calibri"/>
                <w:sz w:val="22"/>
                <w:szCs w:val="22"/>
              </w:rPr>
            </w:pPr>
            <w:r>
              <w:rPr>
                <w:bCs/>
                <w:sz w:val="22"/>
                <w:szCs w:val="22"/>
              </w:rPr>
              <w:t>Období č</w:t>
            </w:r>
            <w:r w:rsidRPr="00D70641">
              <w:rPr>
                <w:bCs/>
                <w:sz w:val="22"/>
                <w:szCs w:val="22"/>
              </w:rPr>
              <w:t>erven</w:t>
            </w:r>
            <w:r>
              <w:rPr>
                <w:bCs/>
                <w:sz w:val="22"/>
                <w:szCs w:val="22"/>
              </w:rPr>
              <w:t>ec-srpen</w:t>
            </w:r>
            <w:r w:rsidRPr="00D70641">
              <w:rPr>
                <w:bCs/>
                <w:sz w:val="22"/>
                <w:szCs w:val="22"/>
              </w:rPr>
              <w:t xml:space="preserve"> 2022</w:t>
            </w:r>
          </w:p>
        </w:tc>
      </w:tr>
      <w:tr w:rsidR="008838A8" w14:paraId="125477A6" w14:textId="77777777" w:rsidTr="008838A8">
        <w:tc>
          <w:tcPr>
            <w:tcW w:w="1555" w:type="dxa"/>
          </w:tcPr>
          <w:p w14:paraId="3A0F00B6" w14:textId="499701EA" w:rsidR="008838A8" w:rsidRDefault="008838A8" w:rsidP="008838A8">
            <w:pPr>
              <w:pStyle w:val="Odstavecseseznamem"/>
              <w:spacing w:before="60"/>
              <w:ind w:left="0"/>
              <w:contextualSpacing w:val="0"/>
              <w:jc w:val="both"/>
              <w:rPr>
                <w:rFonts w:ascii="Calibri" w:hAnsi="Calibri"/>
                <w:sz w:val="22"/>
                <w:szCs w:val="22"/>
              </w:rPr>
            </w:pPr>
            <w:r w:rsidRPr="00D70641">
              <w:rPr>
                <w:bCs/>
                <w:sz w:val="22"/>
                <w:szCs w:val="22"/>
              </w:rPr>
              <w:t>Převodovka</w:t>
            </w:r>
            <w:r>
              <w:rPr>
                <w:bCs/>
                <w:sz w:val="22"/>
                <w:szCs w:val="22"/>
              </w:rPr>
              <w:t xml:space="preserve"> 1 ks</w:t>
            </w:r>
          </w:p>
        </w:tc>
        <w:tc>
          <w:tcPr>
            <w:tcW w:w="1353" w:type="dxa"/>
          </w:tcPr>
          <w:p w14:paraId="6C9B067A" w14:textId="02CA1794" w:rsidR="008838A8" w:rsidRDefault="008838A8" w:rsidP="008838A8">
            <w:pPr>
              <w:pStyle w:val="Odstavecseseznamem"/>
              <w:spacing w:before="60"/>
              <w:ind w:left="0"/>
              <w:contextualSpacing w:val="0"/>
              <w:jc w:val="both"/>
              <w:rPr>
                <w:rFonts w:ascii="Calibri" w:hAnsi="Calibri"/>
                <w:sz w:val="22"/>
                <w:szCs w:val="22"/>
              </w:rPr>
            </w:pPr>
            <w:r>
              <w:rPr>
                <w:bCs/>
                <w:sz w:val="22"/>
                <w:szCs w:val="22"/>
              </w:rPr>
              <w:t>říjen</w:t>
            </w:r>
            <w:r w:rsidRPr="00D70641">
              <w:rPr>
                <w:bCs/>
                <w:sz w:val="22"/>
                <w:szCs w:val="22"/>
              </w:rPr>
              <w:t xml:space="preserve"> 2022</w:t>
            </w:r>
          </w:p>
        </w:tc>
      </w:tr>
      <w:tr w:rsidR="008838A8" w14:paraId="34E3C30B" w14:textId="77777777" w:rsidTr="008838A8">
        <w:tc>
          <w:tcPr>
            <w:tcW w:w="1555" w:type="dxa"/>
          </w:tcPr>
          <w:p w14:paraId="4D7EE290" w14:textId="4279AB5C" w:rsidR="008838A8" w:rsidRDefault="008838A8" w:rsidP="008838A8">
            <w:pPr>
              <w:pStyle w:val="Odstavecseseznamem"/>
              <w:spacing w:before="60"/>
              <w:ind w:left="0"/>
              <w:contextualSpacing w:val="0"/>
              <w:jc w:val="both"/>
              <w:rPr>
                <w:rFonts w:ascii="Calibri" w:hAnsi="Calibri"/>
                <w:sz w:val="22"/>
                <w:szCs w:val="22"/>
              </w:rPr>
            </w:pPr>
            <w:r w:rsidRPr="00D70641">
              <w:rPr>
                <w:bCs/>
                <w:sz w:val="22"/>
                <w:szCs w:val="22"/>
              </w:rPr>
              <w:lastRenderedPageBreak/>
              <w:t>Převodovka</w:t>
            </w:r>
            <w:r>
              <w:rPr>
                <w:bCs/>
                <w:sz w:val="22"/>
                <w:szCs w:val="22"/>
              </w:rPr>
              <w:t xml:space="preserve"> 1 ks</w:t>
            </w:r>
          </w:p>
        </w:tc>
        <w:tc>
          <w:tcPr>
            <w:tcW w:w="1353" w:type="dxa"/>
          </w:tcPr>
          <w:p w14:paraId="17C67E30" w14:textId="601FFCDD" w:rsidR="008838A8" w:rsidRDefault="008838A8" w:rsidP="008838A8">
            <w:pPr>
              <w:pStyle w:val="Odstavecseseznamem"/>
              <w:spacing w:before="60"/>
              <w:ind w:left="0"/>
              <w:contextualSpacing w:val="0"/>
              <w:jc w:val="both"/>
              <w:rPr>
                <w:rFonts w:ascii="Calibri" w:hAnsi="Calibri"/>
                <w:sz w:val="22"/>
                <w:szCs w:val="22"/>
              </w:rPr>
            </w:pPr>
            <w:r>
              <w:rPr>
                <w:bCs/>
                <w:sz w:val="22"/>
                <w:szCs w:val="22"/>
              </w:rPr>
              <w:t>listopad</w:t>
            </w:r>
            <w:r w:rsidRPr="00D70641">
              <w:rPr>
                <w:bCs/>
                <w:sz w:val="22"/>
                <w:szCs w:val="22"/>
              </w:rPr>
              <w:t>2022</w:t>
            </w:r>
          </w:p>
        </w:tc>
      </w:tr>
    </w:tbl>
    <w:p w14:paraId="5199AF91" w14:textId="77777777" w:rsidR="00494968" w:rsidRDefault="00494968" w:rsidP="00494968">
      <w:pPr>
        <w:pStyle w:val="Odstavecseseznamem"/>
        <w:spacing w:before="60"/>
        <w:ind w:left="567"/>
        <w:contextualSpacing w:val="0"/>
        <w:jc w:val="both"/>
        <w:rPr>
          <w:rFonts w:ascii="Calibri" w:hAnsi="Calibri"/>
          <w:sz w:val="22"/>
          <w:szCs w:val="22"/>
        </w:rPr>
      </w:pPr>
    </w:p>
    <w:p w14:paraId="41A48B5A" w14:textId="20976122"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494968">
        <w:rPr>
          <w:rFonts w:ascii="Calibri" w:hAnsi="Calibri"/>
          <w:sz w:val="22"/>
          <w:szCs w:val="22"/>
        </w:rPr>
        <w:t>Petr</w:t>
      </w:r>
      <w:r w:rsidR="00D02CB9">
        <w:rPr>
          <w:rFonts w:ascii="Calibri" w:hAnsi="Calibri"/>
          <w:sz w:val="22"/>
          <w:szCs w:val="22"/>
        </w:rPr>
        <w:t>.S</w:t>
      </w:r>
      <w:r w:rsidR="00494968">
        <w:rPr>
          <w:rFonts w:ascii="Calibri" w:hAnsi="Calibri"/>
          <w:sz w:val="22"/>
          <w:szCs w:val="22"/>
        </w:rPr>
        <w:t>omr</w:t>
      </w:r>
      <w:r w:rsidR="00D02CB9">
        <w:rPr>
          <w:rFonts w:ascii="Calibri" w:hAnsi="Calibri"/>
          <w:sz w:val="22"/>
          <w:szCs w:val="22"/>
        </w:rPr>
        <w:t>@dpov.cz</w:t>
      </w:r>
      <w:r w:rsidR="008613EB">
        <w:rPr>
          <w:rFonts w:ascii="Calibri" w:hAnsi="Calibri"/>
          <w:sz w:val="22"/>
          <w:szCs w:val="22"/>
        </w:rPr>
        <w:t>.</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0BFDF67F" w:rsidR="00B3010A" w:rsidRPr="00203EF1"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8E61E2F" w14:textId="63784760" w:rsidR="00203EF1" w:rsidRDefault="00203EF1" w:rsidP="00203EF1">
      <w:pPr>
        <w:spacing w:before="60"/>
        <w:jc w:val="both"/>
        <w:rPr>
          <w:rFonts w:asciiTheme="minorHAnsi" w:hAnsiTheme="minorHAnsi"/>
          <w:b/>
          <w:sz w:val="22"/>
          <w:szCs w:val="22"/>
        </w:rPr>
      </w:pPr>
    </w:p>
    <w:p w14:paraId="185710B5" w14:textId="77777777" w:rsidR="00912921" w:rsidRDefault="00912921" w:rsidP="00203EF1">
      <w:pPr>
        <w:spacing w:before="60"/>
        <w:jc w:val="both"/>
        <w:rPr>
          <w:rFonts w:asciiTheme="minorHAnsi" w:hAnsiTheme="minorHAnsi"/>
          <w:b/>
          <w:sz w:val="22"/>
          <w:szCs w:val="22"/>
        </w:rPr>
      </w:pPr>
    </w:p>
    <w:p w14:paraId="5FBA286B" w14:textId="2101C776" w:rsidR="00203EF1" w:rsidRPr="00203EF1" w:rsidRDefault="00203EF1" w:rsidP="00203EF1">
      <w:pPr>
        <w:spacing w:before="60"/>
        <w:jc w:val="center"/>
        <w:rPr>
          <w:rFonts w:ascii="Calibri" w:hAnsi="Calibri"/>
          <w:b/>
          <w:sz w:val="22"/>
          <w:szCs w:val="22"/>
        </w:rPr>
      </w:pPr>
      <w:r w:rsidRPr="00203EF1">
        <w:rPr>
          <w:rFonts w:ascii="Calibri" w:hAnsi="Calibri"/>
          <w:b/>
          <w:sz w:val="22"/>
          <w:szCs w:val="22"/>
        </w:rPr>
        <w:t>IV.</w:t>
      </w:r>
    </w:p>
    <w:p w14:paraId="552373B4" w14:textId="3BD251F5" w:rsidR="00203EF1" w:rsidRDefault="00203EF1" w:rsidP="00203EF1">
      <w:pPr>
        <w:spacing w:before="60"/>
        <w:jc w:val="center"/>
        <w:rPr>
          <w:rFonts w:ascii="Calibri" w:hAnsi="Calibri"/>
          <w:b/>
          <w:sz w:val="22"/>
          <w:szCs w:val="22"/>
        </w:rPr>
      </w:pPr>
      <w:r w:rsidRPr="00203EF1">
        <w:rPr>
          <w:rFonts w:ascii="Calibri" w:hAnsi="Calibri"/>
          <w:b/>
          <w:sz w:val="22"/>
          <w:szCs w:val="22"/>
        </w:rPr>
        <w:t>Výměnný systém</w:t>
      </w:r>
    </w:p>
    <w:p w14:paraId="2CE2E35C" w14:textId="129F476F" w:rsidR="00203EF1"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Smluvní strany se dohodly, že Zhotovitel se zprostí povinnosti Dílo dle Dílčí smlouvy provést za podmínky, že převede na Objednatele vlastnické právo k věci stejného druhu výměnou za závazek Objednatele, že na Zhotovitele převede vlastnické právo k Věci, na které by byl jinak Zhotovitel dle Dílčí smlouvy povinen provést generální opravu (dále též jako „Výměna“ či „Výměnný systém“).</w:t>
      </w:r>
    </w:p>
    <w:p w14:paraId="17390E33" w14:textId="20713763" w:rsidR="00203EF1"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 xml:space="preserve">Zhotovitel může na Objednatele převést vlastnické právo k věci stejného druhu pouze tehdy, odpovídá-li její jakost a provedení jakosti a provedení provedeného Díla bez jakýchkoliv vad a nedodělků. Objednatel nemá </w:t>
      </w:r>
      <w:r w:rsidRPr="00203EF1">
        <w:rPr>
          <w:rFonts w:ascii="Calibri" w:hAnsi="Calibri"/>
          <w:sz w:val="22"/>
          <w:szCs w:val="22"/>
        </w:rPr>
        <w:lastRenderedPageBreak/>
        <w:t>povinnost přijmout jako plnění věc stejného druhu, která nemá stanovenou jakost a provedení, přičemž v takovém případě se Zhotovitel nezprostí povinnosti Dílo dle Dílčí smlouvy provést.</w:t>
      </w:r>
    </w:p>
    <w:p w14:paraId="02E282D6" w14:textId="0BB4F22B" w:rsidR="00203EF1"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Na výměnný systém se přiměřeně použijí veškerá ustanovení Rámcové smlouvy upravující mezi Smluvními stranami práva a povinnosti, a to včetně těch upravujících provádění díla, zejména však čas, místo, způsob plnění, jakož i převod vlastnického práva a přechodu nebezpečí škody na věci (společně též jako „Dodací podmínky“) včetně odpovědnosti za vady a záruky za jakost.</w:t>
      </w:r>
    </w:p>
    <w:p w14:paraId="46C20A15" w14:textId="3532BA13" w:rsidR="00203EF1"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V případě provedení výměny mezi Smluvními stranami dle tohoto článku náleží Zhotoviteli odměna sjednaná v příslušné Dílčí smlouvě.</w:t>
      </w:r>
    </w:p>
    <w:p w14:paraId="3A9CD206" w14:textId="7F9C50FC" w:rsidR="006A2FC2" w:rsidRPr="00203EF1" w:rsidRDefault="00203EF1" w:rsidP="00203EF1">
      <w:pPr>
        <w:numPr>
          <w:ilvl w:val="0"/>
          <w:numId w:val="4"/>
        </w:numPr>
        <w:spacing w:before="60"/>
        <w:ind w:left="567" w:hanging="567"/>
        <w:jc w:val="both"/>
        <w:rPr>
          <w:rFonts w:ascii="Calibri" w:hAnsi="Calibri"/>
          <w:sz w:val="22"/>
          <w:szCs w:val="22"/>
        </w:rPr>
      </w:pPr>
      <w:r w:rsidRPr="00203EF1">
        <w:rPr>
          <w:rFonts w:ascii="Calibri" w:hAnsi="Calibri"/>
          <w:sz w:val="22"/>
          <w:szCs w:val="22"/>
        </w:rPr>
        <w:t>Smluvní strany se dohodly, že vylučují aplikaci ustanovení § 2185 odst. 2,3 NOZ.</w:t>
      </w:r>
    </w:p>
    <w:p w14:paraId="0CBC3FF0" w14:textId="557B0196" w:rsidR="000D3AF7" w:rsidRDefault="000D3AF7" w:rsidP="000D3AF7">
      <w:pPr>
        <w:pStyle w:val="Odstavecseseznamem"/>
        <w:spacing w:before="60"/>
        <w:ind w:left="567"/>
        <w:contextualSpacing w:val="0"/>
        <w:jc w:val="both"/>
        <w:rPr>
          <w:rFonts w:asciiTheme="minorHAnsi" w:hAnsiTheme="minorHAnsi"/>
          <w:b/>
          <w:sz w:val="22"/>
          <w:szCs w:val="22"/>
        </w:rPr>
      </w:pPr>
    </w:p>
    <w:p w14:paraId="6AF8BD05" w14:textId="77777777" w:rsidR="00912921" w:rsidRPr="00EF0943" w:rsidRDefault="00912921" w:rsidP="000D3AF7">
      <w:pPr>
        <w:pStyle w:val="Odstavecseseznamem"/>
        <w:spacing w:before="60"/>
        <w:ind w:left="567"/>
        <w:contextualSpacing w:val="0"/>
        <w:jc w:val="both"/>
        <w:rPr>
          <w:rFonts w:asciiTheme="minorHAnsi" w:hAnsiTheme="minorHAnsi"/>
          <w:b/>
          <w:sz w:val="22"/>
          <w:szCs w:val="22"/>
        </w:rPr>
      </w:pPr>
    </w:p>
    <w:p w14:paraId="2CED9801" w14:textId="382EFEA8" w:rsidR="00AF0F65" w:rsidRPr="00DA1E5B" w:rsidRDefault="00050318" w:rsidP="00B56245">
      <w:pPr>
        <w:spacing w:before="60"/>
        <w:jc w:val="center"/>
        <w:rPr>
          <w:rFonts w:asciiTheme="minorHAnsi" w:hAnsiTheme="minorHAnsi"/>
          <w:b/>
          <w:sz w:val="22"/>
          <w:szCs w:val="22"/>
        </w:rPr>
      </w:pPr>
      <w:r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7080371D" w:rsidR="000A644C" w:rsidRDefault="000954DD" w:rsidP="00EF2F29">
      <w:pPr>
        <w:numPr>
          <w:ilvl w:val="0"/>
          <w:numId w:val="40"/>
        </w:numPr>
        <w:spacing w:before="60"/>
        <w:ind w:hanging="720"/>
        <w:jc w:val="both"/>
        <w:rPr>
          <w:rFonts w:ascii="Calibri" w:hAnsi="Calibri"/>
          <w:sz w:val="22"/>
          <w:szCs w:val="22"/>
        </w:rPr>
      </w:pPr>
      <w:r>
        <w:rPr>
          <w:rFonts w:ascii="Calibri" w:hAnsi="Calibri"/>
          <w:sz w:val="22"/>
          <w:szCs w:val="22"/>
        </w:rPr>
        <w:t>Smluvní strany se dohodly, že celková cena za celý rozsah plnění dle této Rámcové smlouvy (dále jen „</w:t>
      </w:r>
      <w:r>
        <w:rPr>
          <w:rFonts w:ascii="Calibri" w:hAnsi="Calibri"/>
          <w:b/>
          <w:bCs/>
          <w:i/>
          <w:iCs/>
          <w:sz w:val="22"/>
          <w:szCs w:val="22"/>
        </w:rPr>
        <w:t>Cena</w:t>
      </w:r>
      <w:r>
        <w:rPr>
          <w:rFonts w:ascii="Calibri" w:hAnsi="Calibri"/>
          <w:sz w:val="22"/>
          <w:szCs w:val="22"/>
        </w:rPr>
        <w:t>“) je</w:t>
      </w:r>
      <w:r w:rsidR="00E92B8F">
        <w:rPr>
          <w:rFonts w:ascii="Calibri" w:hAnsi="Calibri"/>
          <w:sz w:val="22"/>
          <w:szCs w:val="22"/>
        </w:rPr>
        <w:t xml:space="preserve"> …………………. Kč bez DPH</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F2F29">
      <w:pPr>
        <w:numPr>
          <w:ilvl w:val="0"/>
          <w:numId w:val="40"/>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F2F29">
      <w:pPr>
        <w:numPr>
          <w:ilvl w:val="0"/>
          <w:numId w:val="40"/>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F2F29">
      <w:pPr>
        <w:numPr>
          <w:ilvl w:val="0"/>
          <w:numId w:val="40"/>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60AC0EEB" w:rsidR="00D6109C" w:rsidRPr="009B6D22" w:rsidRDefault="001F2ABD" w:rsidP="00EF2F29">
      <w:pPr>
        <w:numPr>
          <w:ilvl w:val="0"/>
          <w:numId w:val="40"/>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7770E91B" w:rsidR="00D13AD4" w:rsidRDefault="001F2ABD" w:rsidP="00EF2F29">
      <w:pPr>
        <w:numPr>
          <w:ilvl w:val="0"/>
          <w:numId w:val="40"/>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93D06">
        <w:rPr>
          <w:rFonts w:ascii="Calibri" w:hAnsi="Calibri"/>
          <w:sz w:val="22"/>
          <w:szCs w:val="22"/>
        </w:rPr>
        <w:t>5</w:t>
      </w:r>
      <w:r w:rsidR="00C24256">
        <w:rPr>
          <w:rFonts w:ascii="Calibri" w:hAnsi="Calibri"/>
          <w:sz w:val="22"/>
          <w:szCs w:val="22"/>
        </w:rPr>
        <w:t xml:space="preserve"> odst. </w:t>
      </w:r>
      <w:r w:rsidR="00C93D06">
        <w:rPr>
          <w:rFonts w:ascii="Calibri" w:hAnsi="Calibri"/>
          <w:sz w:val="22"/>
          <w:szCs w:val="22"/>
        </w:rPr>
        <w:t>5</w:t>
      </w:r>
      <w:r w:rsidR="00BA13D1">
        <w:rPr>
          <w:rFonts w:ascii="Calibri" w:hAnsi="Calibri"/>
          <w:sz w:val="22"/>
          <w:szCs w:val="22"/>
        </w:rPr>
        <w:t>.7.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F2F29">
      <w:pPr>
        <w:numPr>
          <w:ilvl w:val="0"/>
          <w:numId w:val="40"/>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F2F29">
      <w:pPr>
        <w:numPr>
          <w:ilvl w:val="0"/>
          <w:numId w:val="40"/>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w:t>
      </w:r>
      <w:r w:rsidR="001F2ABD" w:rsidRPr="000A644C">
        <w:rPr>
          <w:rFonts w:ascii="Calibri" w:hAnsi="Calibri"/>
          <w:sz w:val="22"/>
          <w:szCs w:val="22"/>
        </w:rPr>
        <w:lastRenderedPageBreak/>
        <w:t xml:space="preserve">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0DEAB1BE" w:rsidR="00776F5A" w:rsidRDefault="00776F5A" w:rsidP="00776F5A">
      <w:pPr>
        <w:ind w:left="567"/>
        <w:jc w:val="both"/>
        <w:rPr>
          <w:rFonts w:ascii="Calibri" w:hAnsi="Calibri"/>
          <w:sz w:val="22"/>
          <w:szCs w:val="22"/>
        </w:rPr>
      </w:pPr>
    </w:p>
    <w:p w14:paraId="7FB1724D" w14:textId="77777777" w:rsidR="00912921" w:rsidRPr="000A644C" w:rsidRDefault="00912921" w:rsidP="00776F5A">
      <w:pPr>
        <w:ind w:left="567"/>
        <w:jc w:val="both"/>
        <w:rPr>
          <w:rFonts w:ascii="Calibri" w:hAnsi="Calibri"/>
          <w:sz w:val="22"/>
          <w:szCs w:val="22"/>
        </w:rPr>
      </w:pPr>
    </w:p>
    <w:p w14:paraId="674B3E79" w14:textId="174A8706" w:rsidR="00FF4749" w:rsidRPr="00413D33" w:rsidRDefault="00FF4749" w:rsidP="00776F5A">
      <w:pPr>
        <w:jc w:val="center"/>
        <w:rPr>
          <w:rFonts w:ascii="Calibri" w:hAnsi="Calibri"/>
          <w:sz w:val="22"/>
          <w:szCs w:val="22"/>
        </w:rPr>
      </w:pPr>
      <w:r w:rsidRPr="00413D33">
        <w:rPr>
          <w:rFonts w:ascii="Calibri" w:hAnsi="Calibri"/>
          <w:b/>
          <w:sz w:val="22"/>
          <w:szCs w:val="22"/>
        </w:rPr>
        <w:t>V</w:t>
      </w:r>
      <w:r w:rsidR="00661E32">
        <w:rPr>
          <w:rFonts w:ascii="Calibri" w:hAnsi="Calibri"/>
          <w:b/>
          <w:sz w:val="22"/>
          <w:szCs w:val="22"/>
        </w:rPr>
        <w:t>I</w:t>
      </w:r>
      <w:r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32519C2B" w:rsidR="00981883" w:rsidRPr="00981883" w:rsidRDefault="00F171A2" w:rsidP="0053362E">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93D06">
        <w:rPr>
          <w:rFonts w:asciiTheme="minorHAnsi" w:hAnsiTheme="minorHAnsi" w:cs="Arial"/>
          <w:sz w:val="22"/>
          <w:szCs w:val="22"/>
        </w:rPr>
        <w:t>VI.</w:t>
      </w:r>
      <w:r w:rsidR="00C24256">
        <w:rPr>
          <w:rFonts w:asciiTheme="minorHAnsi" w:hAnsiTheme="minorHAnsi" w:cs="Arial"/>
          <w:sz w:val="22"/>
          <w:szCs w:val="22"/>
        </w:rPr>
        <w:t xml:space="preserve"> odst. </w:t>
      </w:r>
      <w:r w:rsidR="00282074">
        <w:rPr>
          <w:rFonts w:asciiTheme="minorHAnsi" w:hAnsiTheme="minorHAnsi" w:cs="Arial"/>
          <w:sz w:val="22"/>
          <w:szCs w:val="22"/>
        </w:rPr>
        <w:t>6</w:t>
      </w:r>
      <w:r w:rsidR="0053362E">
        <w:rPr>
          <w:rFonts w:asciiTheme="minorHAnsi" w:hAnsiTheme="minorHAnsi" w:cs="Arial"/>
          <w:sz w:val="22"/>
          <w:szCs w:val="22"/>
        </w:rPr>
        <w:t>.</w:t>
      </w:r>
      <w:r w:rsidR="00C93D06">
        <w:rPr>
          <w:rFonts w:asciiTheme="minorHAnsi" w:hAnsiTheme="minorHAnsi" w:cs="Arial"/>
          <w:sz w:val="22"/>
          <w:szCs w:val="22"/>
        </w:rPr>
        <w:t>7</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06C5B541" w:rsidR="00345D76" w:rsidRPr="002C232A" w:rsidRDefault="00F171A2" w:rsidP="002C232A">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w:t>
      </w:r>
      <w:r w:rsidR="0063457F" w:rsidRPr="00031ABA">
        <w:rPr>
          <w:rFonts w:asciiTheme="minorHAnsi" w:hAnsiTheme="minorHAnsi" w:cs="Arial"/>
          <w:sz w:val="22"/>
          <w:szCs w:val="22"/>
        </w:rPr>
        <w:t xml:space="preserve">, tj. záruční a pozáruční servis po dobu </w:t>
      </w:r>
      <w:r w:rsidR="00E92B8F">
        <w:rPr>
          <w:rFonts w:asciiTheme="minorHAnsi" w:hAnsiTheme="minorHAnsi" w:cs="Arial"/>
          <w:sz w:val="22"/>
          <w:szCs w:val="22"/>
        </w:rPr>
        <w:t>24</w:t>
      </w:r>
      <w:r w:rsidR="0063457F" w:rsidRPr="00031ABA">
        <w:rPr>
          <w:rFonts w:asciiTheme="minorHAnsi" w:hAnsiTheme="minorHAnsi" w:cs="Arial"/>
          <w:sz w:val="22"/>
          <w:szCs w:val="22"/>
        </w:rPr>
        <w:t xml:space="preserve"> měsíců</w:t>
      </w:r>
      <w:r w:rsidR="0063457F">
        <w:rPr>
          <w:rFonts w:asciiTheme="minorHAnsi" w:hAnsiTheme="minorHAnsi" w:cs="Arial"/>
          <w:sz w:val="22"/>
          <w:szCs w:val="22"/>
        </w:rPr>
        <w:t>,</w:t>
      </w:r>
      <w:r w:rsidR="00E92B8F">
        <w:rPr>
          <w:rFonts w:asciiTheme="minorHAnsi" w:hAnsiTheme="minorHAnsi" w:cs="Arial"/>
          <w:sz w:val="22"/>
          <w:szCs w:val="22"/>
        </w:rPr>
        <w:t xml:space="preserve"> nebo do ujetí 200.000 km, podle toho, co nastane dřív,</w:t>
      </w:r>
      <w:r w:rsidR="0095743A" w:rsidRPr="007553D7">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CD4B0CF" w:rsidR="0086267B" w:rsidRDefault="00345D76" w:rsidP="0086267B">
      <w:pPr>
        <w:pStyle w:val="Zkladntext"/>
        <w:numPr>
          <w:ilvl w:val="1"/>
          <w:numId w:val="2"/>
        </w:numPr>
        <w:tabs>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2CE8A379" w:rsidR="00DA1DB5" w:rsidRDefault="00DA1DB5" w:rsidP="00DA1DB5">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93D06">
        <w:rPr>
          <w:rFonts w:asciiTheme="minorHAnsi" w:hAnsiTheme="minorHAnsi"/>
          <w:sz w:val="22"/>
          <w:szCs w:val="22"/>
        </w:rPr>
        <w:t>VI.</w:t>
      </w:r>
      <w:r w:rsidR="00C24256">
        <w:rPr>
          <w:rFonts w:asciiTheme="minorHAnsi" w:hAnsiTheme="minorHAnsi"/>
          <w:sz w:val="22"/>
          <w:szCs w:val="22"/>
        </w:rPr>
        <w:t xml:space="preserve"> odst. </w:t>
      </w:r>
      <w:r w:rsidR="00C93D06">
        <w:rPr>
          <w:rFonts w:asciiTheme="minorHAnsi" w:hAnsiTheme="minorHAnsi"/>
          <w:sz w:val="22"/>
          <w:szCs w:val="22"/>
        </w:rPr>
        <w:t>6</w:t>
      </w:r>
      <w:r>
        <w:rPr>
          <w:rFonts w:asciiTheme="minorHAnsi" w:hAnsiTheme="minorHAnsi"/>
          <w:sz w:val="22"/>
          <w:szCs w:val="22"/>
        </w:rPr>
        <w:t>.</w:t>
      </w:r>
      <w:r w:rsidR="00C93D06">
        <w:rPr>
          <w:rFonts w:asciiTheme="minorHAnsi" w:hAnsiTheme="minorHAnsi"/>
          <w:sz w:val="22"/>
          <w:szCs w:val="22"/>
        </w:rPr>
        <w:t>12</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031ABA">
        <w:rPr>
          <w:rFonts w:asciiTheme="minorHAnsi" w:hAnsiTheme="minorHAnsi"/>
          <w:sz w:val="22"/>
          <w:szCs w:val="22"/>
        </w:rPr>
        <w:t>24</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sidR="005A5A85">
        <w:rPr>
          <w:rFonts w:asciiTheme="minorHAnsi" w:hAnsiTheme="minorHAnsi"/>
          <w:sz w:val="22"/>
          <w:szCs w:val="22"/>
        </w:rPr>
        <w:t>,</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as, nesouhlas, částečné uznání)</w:t>
      </w:r>
      <w:r w:rsidR="005A5A85">
        <w:rPr>
          <w:rFonts w:asciiTheme="minorHAnsi" w:hAnsiTheme="minorHAnsi"/>
          <w:sz w:val="22"/>
          <w:szCs w:val="22"/>
        </w:rPr>
        <w:t>; připadne-li oznámení vady Objednatelem na sobotu, neděli či svátek, počítá běžet lhůtu dle předchozího věty nejbližší následující pracovní den</w:t>
      </w:r>
      <w:r>
        <w:rPr>
          <w:rFonts w:asciiTheme="minorHAnsi" w:hAnsiTheme="minorHAnsi"/>
          <w:sz w:val="22"/>
          <w:szCs w:val="22"/>
        </w:rPr>
        <w:t xml:space="preserve">.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031ABA">
        <w:rPr>
          <w:rFonts w:asciiTheme="minorHAnsi" w:hAnsiTheme="minorHAnsi"/>
          <w:sz w:val="22"/>
          <w:szCs w:val="22"/>
        </w:rPr>
        <w:t>24</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w:t>
      </w:r>
      <w:r w:rsidR="00027450">
        <w:rPr>
          <w:rFonts w:asciiTheme="minorHAnsi" w:hAnsiTheme="minorHAnsi"/>
          <w:sz w:val="22"/>
          <w:szCs w:val="22"/>
        </w:rPr>
        <w:lastRenderedPageBreak/>
        <w:t xml:space="preserve">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06E1EED5"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00CB4C89">
        <w:rPr>
          <w:rFonts w:asciiTheme="minorHAnsi" w:hAnsiTheme="minorHAnsi" w:cs="Arial"/>
          <w:sz w:val="22"/>
          <w:szCs w:val="22"/>
        </w:rPr>
        <w:t xml:space="preserve"> pracovních</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2012A44A"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031ABA">
        <w:rPr>
          <w:rFonts w:asciiTheme="minorHAnsi" w:hAnsiTheme="minorHAnsi" w:cs="Arial"/>
          <w:sz w:val="22"/>
          <w:szCs w:val="22"/>
        </w:rPr>
        <w:t>tří</w:t>
      </w:r>
      <w:r w:rsidR="002C31FA">
        <w:rPr>
          <w:rFonts w:asciiTheme="minorHAnsi" w:hAnsiTheme="minorHAnsi" w:cs="Arial"/>
          <w:sz w:val="22"/>
          <w:szCs w:val="22"/>
        </w:rPr>
        <w:t xml:space="preserve"> </w:t>
      </w:r>
      <w:r w:rsidR="00677926">
        <w:rPr>
          <w:rFonts w:asciiTheme="minorHAnsi" w:hAnsiTheme="minorHAnsi" w:cs="Arial"/>
          <w:sz w:val="22"/>
          <w:szCs w:val="22"/>
        </w:rPr>
        <w:t>(</w:t>
      </w:r>
      <w:r w:rsidR="00031AB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4064D675" w:rsidR="00EA5B27" w:rsidRDefault="00EA5B27" w:rsidP="0086267B">
      <w:pPr>
        <w:pStyle w:val="Zkladntext"/>
        <w:numPr>
          <w:ilvl w:val="1"/>
          <w:numId w:val="2"/>
        </w:numPr>
        <w:tabs>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8908F1">
        <w:rPr>
          <w:rFonts w:asciiTheme="minorHAnsi" w:hAnsiTheme="minorHAnsi"/>
          <w:sz w:val="22"/>
          <w:szCs w:val="22"/>
        </w:rPr>
        <w:t>tří</w:t>
      </w:r>
      <w:r w:rsidR="00004B10">
        <w:rPr>
          <w:rFonts w:asciiTheme="minorHAnsi" w:hAnsiTheme="minorHAnsi"/>
          <w:sz w:val="22"/>
          <w:szCs w:val="22"/>
        </w:rPr>
        <w:t xml:space="preserve"> </w:t>
      </w:r>
      <w:r w:rsidR="00027450">
        <w:rPr>
          <w:rFonts w:asciiTheme="minorHAnsi" w:hAnsiTheme="minorHAnsi"/>
          <w:sz w:val="22"/>
          <w:szCs w:val="22"/>
        </w:rPr>
        <w:t>(</w:t>
      </w:r>
      <w:r w:rsidR="008908F1">
        <w:rPr>
          <w:rFonts w:asciiTheme="minorHAnsi" w:hAnsiTheme="minorHAnsi"/>
          <w:sz w:val="22"/>
          <w:szCs w:val="22"/>
        </w:rPr>
        <w:t>3</w:t>
      </w:r>
      <w:r w:rsidR="00027450">
        <w:rPr>
          <w:rFonts w:asciiTheme="minorHAnsi" w:hAnsiTheme="minorHAnsi"/>
          <w:sz w:val="22"/>
          <w:szCs w:val="22"/>
        </w:rPr>
        <w:t xml:space="preserve">) </w:t>
      </w:r>
      <w:r w:rsidR="00CB4C89">
        <w:rPr>
          <w:rFonts w:asciiTheme="minorHAnsi" w:hAnsiTheme="minorHAnsi"/>
          <w:sz w:val="22"/>
          <w:szCs w:val="22"/>
        </w:rPr>
        <w:t xml:space="preserve">pracovních </w:t>
      </w:r>
      <w:r w:rsidR="00027450">
        <w:rPr>
          <w:rFonts w:asciiTheme="minorHAnsi" w:hAnsiTheme="minorHAnsi"/>
          <w:sz w:val="22"/>
          <w:szCs w:val="22"/>
        </w:rPr>
        <w:t xml:space="preserve">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CB18A60" w:rsidR="00EA5B27" w:rsidRDefault="00EA5B27" w:rsidP="00EA5B27">
      <w:pPr>
        <w:pStyle w:val="Zkladntext"/>
        <w:numPr>
          <w:ilvl w:val="1"/>
          <w:numId w:val="2"/>
        </w:numPr>
        <w:tabs>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8908F1">
        <w:rPr>
          <w:rFonts w:asciiTheme="minorHAnsi" w:hAnsiTheme="minorHAnsi"/>
          <w:sz w:val="22"/>
          <w:szCs w:val="22"/>
        </w:rPr>
        <w:t>tří</w:t>
      </w:r>
      <w:r w:rsidRPr="0086267B">
        <w:rPr>
          <w:rFonts w:asciiTheme="minorHAnsi" w:hAnsiTheme="minorHAnsi"/>
          <w:sz w:val="22"/>
          <w:szCs w:val="22"/>
        </w:rPr>
        <w:t xml:space="preserve"> </w:t>
      </w:r>
      <w:r>
        <w:rPr>
          <w:rFonts w:asciiTheme="minorHAnsi" w:hAnsiTheme="minorHAnsi"/>
          <w:sz w:val="22"/>
          <w:szCs w:val="22"/>
        </w:rPr>
        <w:t>(</w:t>
      </w:r>
      <w:r w:rsidR="008908F1">
        <w:rPr>
          <w:rFonts w:asciiTheme="minorHAnsi" w:hAnsiTheme="minorHAnsi"/>
          <w:sz w:val="22"/>
          <w:szCs w:val="22"/>
        </w:rPr>
        <w:t>3</w:t>
      </w:r>
      <w:r>
        <w:rPr>
          <w:rFonts w:asciiTheme="minorHAnsi" w:hAnsiTheme="minorHAnsi"/>
          <w:sz w:val="22"/>
          <w:szCs w:val="22"/>
        </w:rPr>
        <w:t xml:space="preserve">) </w:t>
      </w:r>
      <w:r w:rsidR="00CB4C89">
        <w:rPr>
          <w:rFonts w:asciiTheme="minorHAnsi" w:hAnsiTheme="minorHAnsi"/>
          <w:sz w:val="22"/>
          <w:szCs w:val="22"/>
        </w:rPr>
        <w:t xml:space="preserve">pracovních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531315C0" w:rsidR="00080677" w:rsidRPr="00981883" w:rsidRDefault="00080677" w:rsidP="00981883">
      <w:pPr>
        <w:pStyle w:val="Zkladntext"/>
        <w:numPr>
          <w:ilvl w:val="1"/>
          <w:numId w:val="2"/>
        </w:numPr>
        <w:tabs>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93D06">
        <w:rPr>
          <w:rFonts w:asciiTheme="minorHAnsi" w:hAnsiTheme="minorHAnsi"/>
          <w:sz w:val="22"/>
          <w:szCs w:val="22"/>
        </w:rPr>
        <w:t>VI.</w:t>
      </w:r>
      <w:r w:rsidR="00C24256">
        <w:rPr>
          <w:rFonts w:asciiTheme="minorHAnsi" w:hAnsiTheme="minorHAnsi"/>
          <w:sz w:val="22"/>
          <w:szCs w:val="22"/>
        </w:rPr>
        <w:t xml:space="preserve"> odst. </w:t>
      </w:r>
      <w:r w:rsidR="00C93D06">
        <w:rPr>
          <w:rFonts w:asciiTheme="minorHAnsi" w:hAnsiTheme="minorHAnsi"/>
          <w:sz w:val="22"/>
          <w:szCs w:val="22"/>
        </w:rPr>
        <w:t>6</w:t>
      </w:r>
      <w:r w:rsidR="00981883">
        <w:rPr>
          <w:rFonts w:asciiTheme="minorHAnsi" w:hAnsiTheme="minorHAnsi"/>
          <w:sz w:val="22"/>
          <w:szCs w:val="22"/>
        </w:rPr>
        <w:t>.</w:t>
      </w:r>
      <w:r w:rsidR="00C93D06">
        <w:rPr>
          <w:rFonts w:asciiTheme="minorHAnsi" w:hAnsiTheme="minorHAnsi"/>
          <w:sz w:val="22"/>
          <w:szCs w:val="22"/>
        </w:rPr>
        <w:t>12</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C73353E" w:rsidR="00ED0535" w:rsidRDefault="00ED0535" w:rsidP="00ED0535">
      <w:pPr>
        <w:jc w:val="center"/>
        <w:rPr>
          <w:rFonts w:ascii="Calibri" w:hAnsi="Calibri"/>
          <w:b/>
          <w:sz w:val="22"/>
          <w:szCs w:val="22"/>
        </w:rPr>
      </w:pPr>
    </w:p>
    <w:p w14:paraId="6ACE7851" w14:textId="77777777" w:rsidR="00912921" w:rsidRDefault="00912921" w:rsidP="00ED0535">
      <w:pPr>
        <w:jc w:val="center"/>
        <w:rPr>
          <w:rFonts w:ascii="Calibri" w:hAnsi="Calibri"/>
          <w:b/>
          <w:sz w:val="22"/>
          <w:szCs w:val="22"/>
        </w:rPr>
      </w:pPr>
    </w:p>
    <w:p w14:paraId="79473C7C" w14:textId="212AB225" w:rsidR="00ED0535" w:rsidRPr="00EA6866" w:rsidRDefault="00ED0535" w:rsidP="00914188">
      <w:pPr>
        <w:keepNext/>
        <w:spacing w:before="60"/>
        <w:jc w:val="center"/>
        <w:rPr>
          <w:rFonts w:ascii="Calibri" w:hAnsi="Calibri"/>
          <w:b/>
          <w:sz w:val="22"/>
          <w:szCs w:val="22"/>
        </w:rPr>
      </w:pPr>
      <w:r>
        <w:rPr>
          <w:rFonts w:ascii="Calibri" w:hAnsi="Calibri"/>
          <w:b/>
          <w:sz w:val="22"/>
          <w:szCs w:val="22"/>
        </w:rPr>
        <w:t>V</w:t>
      </w:r>
      <w:r w:rsidR="00661E32">
        <w:rPr>
          <w:rFonts w:ascii="Calibri" w:hAnsi="Calibri"/>
          <w:b/>
          <w:sz w:val="22"/>
          <w:szCs w:val="22"/>
        </w:rPr>
        <w:t>I</w:t>
      </w:r>
      <w:r>
        <w:rPr>
          <w:rFonts w:ascii="Calibri" w:hAnsi="Calibri"/>
          <w:b/>
          <w:sz w:val="22"/>
          <w:szCs w:val="22"/>
        </w:rPr>
        <w:t>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 xml:space="preserve">i duševního vlastnictví. Právo </w:t>
      </w:r>
      <w:r w:rsidR="009760E9" w:rsidRPr="00CA5E35">
        <w:rPr>
          <w:rFonts w:asciiTheme="minorHAnsi" w:hAnsiTheme="minorHAnsi"/>
          <w:color w:val="000000"/>
          <w:sz w:val="22"/>
          <w:szCs w:val="22"/>
        </w:rPr>
        <w:lastRenderedPageBreak/>
        <w:t>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6C65FE" w:rsidRPr="008908F1">
        <w:rPr>
          <w:rFonts w:asciiTheme="minorHAnsi" w:hAnsiTheme="minorHAnsi"/>
          <w:sz w:val="22"/>
          <w:szCs w:val="22"/>
        </w:rPr>
        <w:t>5</w:t>
      </w:r>
      <w:r w:rsidRPr="008908F1">
        <w:rPr>
          <w:rFonts w:asciiTheme="minorHAnsi" w:hAnsiTheme="minorHAnsi"/>
          <w:sz w:val="22"/>
          <w:szCs w:val="22"/>
        </w:rPr>
        <w:t>.000.000,-</w:t>
      </w:r>
      <w:proofErr w:type="gramEnd"/>
      <w:r w:rsidRPr="008908F1">
        <w:rPr>
          <w:rFonts w:asciiTheme="minorHAnsi" w:hAnsiTheme="minorHAnsi"/>
          <w:sz w:val="22"/>
          <w:szCs w:val="22"/>
        </w:rPr>
        <w:t xml:space="preserve">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6B3FBFEF" w:rsidR="008717AE" w:rsidRDefault="008717AE" w:rsidP="00431FAC">
      <w:pPr>
        <w:pStyle w:val="Odstavecseseznamem"/>
        <w:spacing w:before="60"/>
        <w:ind w:left="567"/>
        <w:contextualSpacing w:val="0"/>
        <w:jc w:val="both"/>
        <w:rPr>
          <w:rFonts w:asciiTheme="minorHAnsi" w:hAnsiTheme="minorHAnsi"/>
          <w:b/>
          <w:sz w:val="22"/>
          <w:szCs w:val="22"/>
        </w:rPr>
      </w:pPr>
    </w:p>
    <w:p w14:paraId="07B31682" w14:textId="77777777" w:rsidR="00912921" w:rsidRPr="00965EAF" w:rsidRDefault="00912921" w:rsidP="00431FAC">
      <w:pPr>
        <w:pStyle w:val="Odstavecseseznamem"/>
        <w:spacing w:before="60"/>
        <w:ind w:left="567"/>
        <w:contextualSpacing w:val="0"/>
        <w:jc w:val="both"/>
        <w:rPr>
          <w:rFonts w:asciiTheme="minorHAnsi" w:hAnsiTheme="minorHAnsi"/>
          <w:b/>
          <w:sz w:val="22"/>
          <w:szCs w:val="22"/>
        </w:rPr>
      </w:pPr>
    </w:p>
    <w:p w14:paraId="5CDCE8AC" w14:textId="7E00FB6C"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661E32">
        <w:rPr>
          <w:rFonts w:ascii="Calibri" w:hAnsi="Calibri"/>
          <w:b/>
          <w:sz w:val="22"/>
          <w:szCs w:val="22"/>
        </w:rPr>
        <w:t>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3A58712D"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5A5A85">
        <w:rPr>
          <w:rFonts w:ascii="Calibri" w:hAnsi="Calibri"/>
          <w:sz w:val="22"/>
          <w:szCs w:val="22"/>
        </w:rPr>
        <w:t xml:space="preserve"> plnění, jehož se prodlení týká, a to</w:t>
      </w:r>
      <w:r w:rsidR="00EA6866">
        <w:rPr>
          <w:rFonts w:ascii="Calibri" w:hAnsi="Calibri"/>
          <w:sz w:val="22"/>
          <w:szCs w:val="22"/>
        </w:rPr>
        <w:t xml:space="preserve"> za každý den prodlení. </w:t>
      </w:r>
    </w:p>
    <w:p w14:paraId="2EECDB3D" w14:textId="7E78D2EA"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sidR="005A5A85">
        <w:rPr>
          <w:rFonts w:ascii="Calibri" w:hAnsi="Calibri"/>
          <w:sz w:val="22"/>
          <w:szCs w:val="22"/>
        </w:rPr>
        <w:t xml:space="preserve"> plnění, jehož se prodlení týká, a to</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5A7421A8"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282074">
        <w:rPr>
          <w:rFonts w:asciiTheme="minorHAnsi" w:hAnsiTheme="minorHAnsi"/>
          <w:sz w:val="22"/>
        </w:rPr>
        <w:t>VII.</w:t>
      </w:r>
      <w:r w:rsidR="00C24256">
        <w:rPr>
          <w:rFonts w:asciiTheme="minorHAnsi" w:hAnsiTheme="minorHAnsi"/>
          <w:sz w:val="22"/>
        </w:rPr>
        <w:t xml:space="preserve"> odst. </w:t>
      </w:r>
      <w:r w:rsidR="00661E32">
        <w:rPr>
          <w:rFonts w:asciiTheme="minorHAnsi" w:hAnsiTheme="minorHAnsi"/>
          <w:sz w:val="22"/>
        </w:rPr>
        <w:t>7</w:t>
      </w:r>
      <w:r w:rsidRPr="00965EAF">
        <w:rPr>
          <w:rFonts w:asciiTheme="minorHAnsi" w:hAnsiTheme="minorHAnsi"/>
          <w:sz w:val="22"/>
        </w:rPr>
        <w:t>.</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71CDBF24"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282074">
        <w:rPr>
          <w:rFonts w:asciiTheme="minorHAnsi" w:hAnsiTheme="minorHAnsi"/>
          <w:sz w:val="22"/>
          <w:szCs w:val="22"/>
        </w:rPr>
        <w:t>VII.</w:t>
      </w:r>
      <w:r w:rsidR="00C24256">
        <w:rPr>
          <w:rFonts w:asciiTheme="minorHAnsi" w:hAnsiTheme="minorHAnsi"/>
          <w:sz w:val="22"/>
          <w:szCs w:val="22"/>
        </w:rPr>
        <w:t xml:space="preserve"> odst. </w:t>
      </w:r>
      <w:r w:rsidR="00661E32">
        <w:rPr>
          <w:rFonts w:asciiTheme="minorHAnsi" w:hAnsiTheme="minorHAnsi"/>
          <w:sz w:val="22"/>
        </w:rPr>
        <w:t>7</w:t>
      </w:r>
      <w:r w:rsidRPr="00D442CD">
        <w:rPr>
          <w:rFonts w:asciiTheme="minorHAnsi" w:hAnsiTheme="minorHAnsi"/>
          <w:sz w:val="22"/>
        </w:rPr>
        <w:t>.</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F0E2A1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282074">
        <w:rPr>
          <w:rFonts w:ascii="Calibri" w:hAnsi="Calibri"/>
          <w:sz w:val="22"/>
          <w:szCs w:val="22"/>
        </w:rPr>
        <w:t>VII.</w:t>
      </w:r>
      <w:r w:rsidR="00C24256">
        <w:rPr>
          <w:rFonts w:ascii="Calibri" w:hAnsi="Calibri"/>
          <w:sz w:val="22"/>
          <w:szCs w:val="22"/>
        </w:rPr>
        <w:t xml:space="preserve"> odst. </w:t>
      </w:r>
      <w:r w:rsidR="00661E32">
        <w:rPr>
          <w:rFonts w:ascii="Calibri" w:hAnsi="Calibri"/>
          <w:sz w:val="22"/>
          <w:szCs w:val="22"/>
        </w:rPr>
        <w:t>7</w:t>
      </w:r>
      <w:r>
        <w:rPr>
          <w:rFonts w:ascii="Calibri" w:hAnsi="Calibri"/>
          <w:sz w:val="22"/>
          <w:szCs w:val="22"/>
        </w:rPr>
        <w:t>.8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262841BB"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282074">
        <w:rPr>
          <w:rFonts w:ascii="Calibri" w:hAnsi="Calibri"/>
          <w:sz w:val="22"/>
          <w:szCs w:val="22"/>
        </w:rPr>
        <w:t>I.</w:t>
      </w:r>
      <w:r w:rsidR="00C24256">
        <w:rPr>
          <w:rFonts w:ascii="Calibri" w:hAnsi="Calibri"/>
          <w:sz w:val="22"/>
          <w:szCs w:val="22"/>
        </w:rPr>
        <w:t xml:space="preserve"> odst. </w:t>
      </w:r>
      <w:r w:rsidRPr="003165A6">
        <w:rPr>
          <w:rFonts w:ascii="Calibri" w:hAnsi="Calibri"/>
          <w:sz w:val="22"/>
          <w:szCs w:val="22"/>
        </w:rPr>
        <w:t>1.</w:t>
      </w:r>
      <w:r w:rsidR="00661E32">
        <w:rPr>
          <w:rFonts w:ascii="Calibri" w:hAnsi="Calibri"/>
          <w:sz w:val="22"/>
          <w:szCs w:val="22"/>
        </w:rPr>
        <w:t>5</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48657536" w:rsid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774E70CE" w14:textId="20EB041C" w:rsidR="00661E32" w:rsidRDefault="00661E32" w:rsidP="00661E32">
      <w:pPr>
        <w:pStyle w:val="Odstavecseseznamem"/>
        <w:spacing w:before="60"/>
        <w:ind w:left="567"/>
        <w:contextualSpacing w:val="0"/>
        <w:jc w:val="both"/>
        <w:rPr>
          <w:rFonts w:ascii="Calibri" w:hAnsi="Calibri"/>
          <w:sz w:val="22"/>
          <w:szCs w:val="22"/>
        </w:rPr>
      </w:pPr>
    </w:p>
    <w:p w14:paraId="730978D1" w14:textId="77777777" w:rsidR="00912921" w:rsidRPr="003165A6" w:rsidRDefault="00912921" w:rsidP="00661E32">
      <w:pPr>
        <w:pStyle w:val="Odstavecseseznamem"/>
        <w:spacing w:before="60"/>
        <w:ind w:left="567"/>
        <w:contextualSpacing w:val="0"/>
        <w:jc w:val="both"/>
        <w:rPr>
          <w:rFonts w:ascii="Calibri" w:hAnsi="Calibri"/>
          <w:sz w:val="22"/>
          <w:szCs w:val="22"/>
        </w:rPr>
      </w:pPr>
    </w:p>
    <w:p w14:paraId="25ED6B55" w14:textId="4B1F3996" w:rsidR="0093542D" w:rsidRPr="00EA6866" w:rsidRDefault="00661E32" w:rsidP="00ED41A8">
      <w:pPr>
        <w:pStyle w:val="Zkladntext"/>
        <w:spacing w:before="60"/>
        <w:jc w:val="center"/>
        <w:rPr>
          <w:rFonts w:ascii="Calibri" w:hAnsi="Calibri"/>
          <w:b/>
          <w:sz w:val="22"/>
          <w:szCs w:val="22"/>
        </w:rPr>
      </w:pPr>
      <w:r>
        <w:rPr>
          <w:rFonts w:ascii="Calibri" w:hAnsi="Calibri"/>
          <w:b/>
          <w:sz w:val="22"/>
          <w:szCs w:val="22"/>
        </w:rPr>
        <w:t>IX.</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2FEA9111" w:rsidR="007E57FA" w:rsidRPr="00203E8F" w:rsidRDefault="006E4619" w:rsidP="00E324FD">
      <w:pPr>
        <w:pStyle w:val="Zkladntext"/>
        <w:numPr>
          <w:ilvl w:val="1"/>
          <w:numId w:val="3"/>
        </w:numPr>
        <w:tabs>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Zhotovitel pozbude oprávnění pro provádění činností, jež jsou předmětem této Smlouvy,</w:t>
      </w:r>
    </w:p>
    <w:p w14:paraId="7DC0FFBA" w14:textId="03FB8B2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C93D06">
        <w:rPr>
          <w:rFonts w:asciiTheme="minorHAnsi" w:hAnsiTheme="minorHAnsi" w:cstheme="minorHAnsi"/>
          <w:kern w:val="1"/>
          <w:sz w:val="22"/>
          <w:szCs w:val="22"/>
        </w:rPr>
        <w:t>VII.</w:t>
      </w:r>
      <w:r w:rsidRPr="00495CC8">
        <w:rPr>
          <w:rFonts w:asciiTheme="minorHAnsi" w:hAnsiTheme="minorHAnsi" w:cstheme="minorHAnsi"/>
          <w:kern w:val="1"/>
          <w:sz w:val="22"/>
          <w:szCs w:val="22"/>
        </w:rPr>
        <w:t xml:space="preserve"> odst. </w:t>
      </w:r>
      <w:r w:rsidR="00661E32">
        <w:rPr>
          <w:rFonts w:asciiTheme="minorHAnsi" w:hAnsiTheme="minorHAnsi" w:cstheme="minorHAnsi"/>
          <w:kern w:val="1"/>
          <w:sz w:val="22"/>
          <w:szCs w:val="22"/>
        </w:rPr>
        <w:t>7</w:t>
      </w:r>
      <w:r w:rsidRPr="00495CC8">
        <w:rPr>
          <w:rFonts w:asciiTheme="minorHAnsi" w:hAnsiTheme="minorHAnsi" w:cstheme="minorHAnsi"/>
          <w:kern w:val="1"/>
          <w:sz w:val="22"/>
          <w:szCs w:val="22"/>
        </w:rPr>
        <w:t>.5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10B556EF"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C93D06">
        <w:rPr>
          <w:rFonts w:asciiTheme="minorHAnsi" w:hAnsiTheme="minorHAnsi" w:cstheme="minorHAnsi"/>
          <w:kern w:val="1"/>
          <w:sz w:val="22"/>
          <w:szCs w:val="22"/>
        </w:rPr>
        <w:t>VII.</w:t>
      </w:r>
      <w:r w:rsidRPr="00495CC8">
        <w:rPr>
          <w:rFonts w:asciiTheme="minorHAnsi" w:hAnsiTheme="minorHAnsi" w:cstheme="minorHAnsi"/>
          <w:kern w:val="1"/>
          <w:sz w:val="22"/>
          <w:szCs w:val="22"/>
        </w:rPr>
        <w:t xml:space="preserve"> odst. </w:t>
      </w:r>
      <w:r w:rsidR="00661E32">
        <w:rPr>
          <w:rFonts w:asciiTheme="minorHAnsi" w:hAnsiTheme="minorHAnsi" w:cstheme="minorHAnsi"/>
          <w:kern w:val="1"/>
          <w:sz w:val="22"/>
          <w:szCs w:val="22"/>
        </w:rPr>
        <w:t>7</w:t>
      </w:r>
      <w:r w:rsidRPr="00495CC8">
        <w:rPr>
          <w:rFonts w:asciiTheme="minorHAnsi" w:hAnsiTheme="minorHAnsi" w:cstheme="minorHAnsi"/>
          <w:kern w:val="1"/>
          <w:sz w:val="22"/>
          <w:szCs w:val="22"/>
        </w:rPr>
        <w:t>.5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1293459D" w:rsidR="00345D76" w:rsidRDefault="00345D76" w:rsidP="002C232A">
      <w:pPr>
        <w:pStyle w:val="Zkladntext"/>
        <w:tabs>
          <w:tab w:val="left" w:pos="567"/>
        </w:tabs>
        <w:spacing w:before="60"/>
        <w:ind w:left="567"/>
        <w:jc w:val="center"/>
        <w:rPr>
          <w:rFonts w:asciiTheme="minorHAnsi" w:hAnsiTheme="minorHAnsi" w:cstheme="minorHAnsi"/>
          <w:sz w:val="22"/>
          <w:szCs w:val="22"/>
        </w:rPr>
      </w:pPr>
    </w:p>
    <w:p w14:paraId="36E2412C" w14:textId="77777777" w:rsidR="00912921" w:rsidRPr="002C232A" w:rsidRDefault="00912921" w:rsidP="002C232A">
      <w:pPr>
        <w:pStyle w:val="Zkladntext"/>
        <w:tabs>
          <w:tab w:val="left" w:pos="567"/>
        </w:tabs>
        <w:spacing w:before="60"/>
        <w:ind w:left="567"/>
        <w:jc w:val="center"/>
        <w:rPr>
          <w:rFonts w:asciiTheme="minorHAnsi" w:hAnsiTheme="minorHAnsi" w:cstheme="minorHAnsi"/>
          <w:sz w:val="22"/>
          <w:szCs w:val="22"/>
        </w:rPr>
      </w:pPr>
    </w:p>
    <w:p w14:paraId="29C28E9F" w14:textId="44E9E899" w:rsidR="007E57FA" w:rsidRDefault="00661E32" w:rsidP="002C232A">
      <w:pPr>
        <w:pStyle w:val="Zkladntext"/>
        <w:tabs>
          <w:tab w:val="left" w:pos="567"/>
        </w:tabs>
        <w:spacing w:before="60"/>
        <w:ind w:left="567"/>
        <w:jc w:val="center"/>
        <w:rPr>
          <w:rFonts w:ascii="Calibri" w:hAnsi="Calibri"/>
          <w:b/>
        </w:rPr>
      </w:pPr>
      <w:r>
        <w:rPr>
          <w:rFonts w:ascii="Calibri" w:hAnsi="Calibri"/>
          <w:b/>
        </w:rPr>
        <w:t>X.</w:t>
      </w:r>
    </w:p>
    <w:p w14:paraId="64AAC4A8" w14:textId="34922879" w:rsidR="00960BD5" w:rsidRDefault="00960BD5" w:rsidP="002C232A">
      <w:pPr>
        <w:pStyle w:val="Zkladntext"/>
        <w:tabs>
          <w:tab w:val="left" w:pos="567"/>
        </w:tabs>
        <w:spacing w:before="60"/>
        <w:ind w:left="567"/>
        <w:jc w:val="center"/>
        <w:rPr>
          <w:rFonts w:ascii="Calibri" w:hAnsi="Calibri"/>
          <w:b/>
        </w:rPr>
      </w:pPr>
      <w:r>
        <w:rPr>
          <w:rFonts w:ascii="Calibri" w:hAnsi="Calibri"/>
          <w:b/>
        </w:rPr>
        <w:t>Čestné prohlášení</w:t>
      </w:r>
    </w:p>
    <w:p w14:paraId="5ED52C3A" w14:textId="77777777" w:rsidR="00960BD5" w:rsidRDefault="00960BD5" w:rsidP="00BD6BCE">
      <w:pPr>
        <w:pStyle w:val="Zkladntext"/>
        <w:numPr>
          <w:ilvl w:val="1"/>
          <w:numId w:val="37"/>
        </w:numPr>
        <w:spacing w:before="60"/>
        <w:ind w:left="567" w:hanging="567"/>
        <w:rPr>
          <w:rFonts w:ascii="Calibri" w:hAnsi="Calibri"/>
          <w:sz w:val="22"/>
          <w:szCs w:val="22"/>
        </w:rPr>
      </w:pPr>
      <w:r>
        <w:rPr>
          <w:rFonts w:ascii="Calibri" w:hAnsi="Calibri"/>
          <w:sz w:val="22"/>
          <w:szCs w:val="22"/>
        </w:rPr>
        <w:t xml:space="preserve">Zhotovitel prohlašuje, že: </w:t>
      </w:r>
    </w:p>
    <w:p w14:paraId="330E9CA4" w14:textId="2F997E18"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w:t>
      </w:r>
      <w:r w:rsidR="00DF6CBD">
        <w:rPr>
          <w:rFonts w:ascii="Calibri" w:hAnsi="Calibri"/>
          <w:sz w:val="22"/>
          <w:szCs w:val="22"/>
        </w:rPr>
        <w:t>;</w:t>
      </w:r>
      <w:r>
        <w:rPr>
          <w:rFonts w:ascii="Calibri" w:hAnsi="Calibri"/>
          <w:sz w:val="22"/>
          <w:szCs w:val="22"/>
        </w:rPr>
        <w:t xml:space="preserve"> </w:t>
      </w:r>
    </w:p>
    <w:p w14:paraId="529C04D0" w14:textId="77777777"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4671731C" w14:textId="77777777"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959C0F5" w14:textId="472EA2BC" w:rsidR="00960BD5" w:rsidRDefault="00960BD5" w:rsidP="00960BD5">
      <w:pPr>
        <w:pStyle w:val="Zkladntext"/>
        <w:numPr>
          <w:ilvl w:val="2"/>
          <w:numId w:val="37"/>
        </w:numPr>
        <w:spacing w:before="60"/>
        <w:ind w:left="567" w:hanging="567"/>
        <w:rPr>
          <w:rFonts w:ascii="Calibri" w:hAnsi="Calibri"/>
          <w:sz w:val="22"/>
          <w:szCs w:val="22"/>
        </w:rPr>
      </w:pPr>
      <w:r>
        <w:rPr>
          <w:rFonts w:ascii="Calibri" w:hAnsi="Calibri"/>
          <w:sz w:val="22"/>
          <w:szCs w:val="22"/>
        </w:rPr>
        <w:t>neobdržel oznámení ani si není jinak vědom, že by proti němu byl vznesen nárok, vedena žaloba, soudní spor, správní řízení nebo šetření ze strany v souvislosti se sankcemi</w:t>
      </w:r>
      <w:r w:rsidR="00BD6BCE">
        <w:rPr>
          <w:rFonts w:ascii="Calibri" w:hAnsi="Calibri"/>
          <w:sz w:val="22"/>
          <w:szCs w:val="22"/>
        </w:rPr>
        <w:t>.</w:t>
      </w:r>
    </w:p>
    <w:p w14:paraId="534C2AEE" w14:textId="38B473E6" w:rsidR="00960BD5" w:rsidRDefault="00960BD5" w:rsidP="00BD6BCE">
      <w:pPr>
        <w:pStyle w:val="Zkladntext"/>
        <w:numPr>
          <w:ilvl w:val="1"/>
          <w:numId w:val="37"/>
        </w:numPr>
        <w:spacing w:before="60"/>
        <w:ind w:left="567" w:hanging="567"/>
        <w:rPr>
          <w:rFonts w:ascii="Calibri" w:hAnsi="Calibri"/>
          <w:sz w:val="22"/>
          <w:szCs w:val="22"/>
        </w:rPr>
      </w:pPr>
      <w:r>
        <w:rPr>
          <w:rFonts w:ascii="Calibri" w:hAnsi="Calibri"/>
          <w:sz w:val="22"/>
          <w:szCs w:val="22"/>
        </w:rPr>
        <w:t xml:space="preserve"> V případě, že kdykoli v budoucnu dojde k porušení některého ze shora uvedených prohlášení, je Zhotovitel povinen oznámit tuto skutečnost bez zbytečného odkladu DPOV, a.s.</w:t>
      </w:r>
    </w:p>
    <w:p w14:paraId="2C17C195" w14:textId="77777777" w:rsidR="00960BD5" w:rsidRDefault="00960BD5" w:rsidP="00BD6BCE">
      <w:pPr>
        <w:pStyle w:val="Zkladntext"/>
        <w:numPr>
          <w:ilvl w:val="1"/>
          <w:numId w:val="37"/>
        </w:numPr>
        <w:spacing w:before="60"/>
        <w:ind w:left="567" w:hanging="567"/>
        <w:rPr>
          <w:rFonts w:ascii="Calibri" w:hAnsi="Calibri"/>
          <w:sz w:val="22"/>
          <w:szCs w:val="22"/>
        </w:rPr>
      </w:pPr>
      <w:r>
        <w:rPr>
          <w:rFonts w:ascii="Calibri" w:hAnsi="Calibri"/>
          <w:sz w:val="22"/>
          <w:szCs w:val="22"/>
        </w:rPr>
        <w:lastRenderedPageBreak/>
        <w:t>Pro případ, že 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266A31CB" w14:textId="77777777" w:rsidR="00960BD5" w:rsidRDefault="00960BD5" w:rsidP="00BD6BCE">
      <w:pPr>
        <w:pStyle w:val="Zkladntext"/>
        <w:numPr>
          <w:ilvl w:val="1"/>
          <w:numId w:val="37"/>
        </w:numPr>
        <w:spacing w:before="60"/>
        <w:ind w:left="567" w:hanging="567"/>
        <w:rPr>
          <w:rFonts w:ascii="Calibri" w:hAnsi="Calibri"/>
          <w:sz w:val="22"/>
          <w:szCs w:val="22"/>
        </w:rPr>
      </w:pPr>
      <w:r>
        <w:rPr>
          <w:rFonts w:ascii="Calibri" w:hAnsi="Calibri"/>
          <w:sz w:val="22"/>
          <w:szCs w:val="22"/>
        </w:rPr>
        <w:t>Porušení shora uvedených prohlášení se považuje za porušení smlouvy podstatným způsobem a opravňuje druhou smluvní stranu od smlouvy odstoupit.</w:t>
      </w:r>
    </w:p>
    <w:p w14:paraId="66277F4C" w14:textId="4D6CD12D" w:rsidR="00960BD5" w:rsidRDefault="00960BD5" w:rsidP="00960BD5">
      <w:pPr>
        <w:pStyle w:val="Zkladntext"/>
        <w:tabs>
          <w:tab w:val="left" w:pos="567"/>
        </w:tabs>
        <w:spacing w:before="60"/>
        <w:ind w:left="567"/>
        <w:rPr>
          <w:rFonts w:ascii="Calibri" w:hAnsi="Calibri"/>
          <w:b/>
        </w:rPr>
      </w:pPr>
    </w:p>
    <w:p w14:paraId="62A190E0" w14:textId="77777777" w:rsidR="00912921" w:rsidRDefault="00912921" w:rsidP="00960BD5">
      <w:pPr>
        <w:pStyle w:val="Zkladntext"/>
        <w:tabs>
          <w:tab w:val="left" w:pos="567"/>
        </w:tabs>
        <w:spacing w:before="60"/>
        <w:ind w:left="567"/>
        <w:rPr>
          <w:rFonts w:ascii="Calibri" w:hAnsi="Calibri"/>
          <w:b/>
        </w:rPr>
      </w:pPr>
    </w:p>
    <w:p w14:paraId="338CBD98" w14:textId="5C8D006F" w:rsidR="00960BD5" w:rsidRPr="00EA6866" w:rsidRDefault="00960BD5" w:rsidP="00661E32">
      <w:pPr>
        <w:pStyle w:val="Zkladntext"/>
        <w:tabs>
          <w:tab w:val="left" w:pos="567"/>
        </w:tabs>
        <w:spacing w:before="60"/>
        <w:jc w:val="center"/>
        <w:rPr>
          <w:rFonts w:ascii="Calibri" w:hAnsi="Calibri"/>
          <w:b/>
        </w:rPr>
      </w:pPr>
      <w:r>
        <w:rPr>
          <w:rFonts w:ascii="Calibri" w:hAnsi="Calibri"/>
          <w:b/>
        </w:rPr>
        <w:t>X</w:t>
      </w:r>
      <w:r w:rsidR="00661E32">
        <w:rPr>
          <w:rFonts w:ascii="Calibri" w:hAnsi="Calibri"/>
          <w:b/>
        </w:rPr>
        <w:t>I</w:t>
      </w:r>
      <w:r>
        <w:rPr>
          <w:rFonts w:ascii="Calibri" w:hAnsi="Calibri"/>
          <w:b/>
        </w:rPr>
        <w:t>.</w:t>
      </w:r>
    </w:p>
    <w:p w14:paraId="27E6348B" w14:textId="77777777" w:rsidR="007E57FA" w:rsidRDefault="007E57FA" w:rsidP="00661E32">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BD6BCE">
      <w:pPr>
        <w:pStyle w:val="Zkladntext"/>
        <w:numPr>
          <w:ilvl w:val="1"/>
          <w:numId w:val="38"/>
        </w:numPr>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BD6BCE">
      <w:pPr>
        <w:pStyle w:val="Zkladntext"/>
        <w:numPr>
          <w:ilvl w:val="1"/>
          <w:numId w:val="38"/>
        </w:numPr>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BD6BCE">
      <w:pPr>
        <w:pStyle w:val="Zkladntext"/>
        <w:numPr>
          <w:ilvl w:val="1"/>
          <w:numId w:val="38"/>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BD6BCE">
      <w:pPr>
        <w:pStyle w:val="Zkladntext"/>
        <w:numPr>
          <w:ilvl w:val="1"/>
          <w:numId w:val="38"/>
        </w:numPr>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BD6BCE">
      <w:pPr>
        <w:pStyle w:val="Zkladntext"/>
        <w:numPr>
          <w:ilvl w:val="1"/>
          <w:numId w:val="38"/>
        </w:numPr>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BD6BCE">
      <w:pPr>
        <w:pStyle w:val="Zkladntext"/>
        <w:numPr>
          <w:ilvl w:val="1"/>
          <w:numId w:val="38"/>
        </w:numPr>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BD6BCE">
      <w:pPr>
        <w:pStyle w:val="Zkladntext"/>
        <w:numPr>
          <w:ilvl w:val="1"/>
          <w:numId w:val="38"/>
        </w:numPr>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BD6BCE">
      <w:pPr>
        <w:pStyle w:val="Zkladntext"/>
        <w:numPr>
          <w:ilvl w:val="1"/>
          <w:numId w:val="38"/>
        </w:numPr>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BD6BCE">
      <w:pPr>
        <w:pStyle w:val="Zkladntext"/>
        <w:numPr>
          <w:ilvl w:val="1"/>
          <w:numId w:val="38"/>
        </w:numPr>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BD6BCE">
      <w:pPr>
        <w:pStyle w:val="Zkladntext"/>
        <w:numPr>
          <w:ilvl w:val="1"/>
          <w:numId w:val="38"/>
        </w:numPr>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BD6BCE">
      <w:pPr>
        <w:pStyle w:val="Zkladntext"/>
        <w:numPr>
          <w:ilvl w:val="1"/>
          <w:numId w:val="38"/>
        </w:numPr>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BD6BCE">
      <w:pPr>
        <w:pStyle w:val="Zkladntext"/>
        <w:numPr>
          <w:ilvl w:val="1"/>
          <w:numId w:val="38"/>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BD6BCE">
      <w:pPr>
        <w:pStyle w:val="Odstavecseseznamem"/>
        <w:numPr>
          <w:ilvl w:val="1"/>
          <w:numId w:val="38"/>
        </w:numPr>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6B83D96F" w:rsidR="002B748B" w:rsidRDefault="001B02C8" w:rsidP="00BD6BCE">
      <w:pPr>
        <w:pStyle w:val="Zkladntext"/>
        <w:numPr>
          <w:ilvl w:val="1"/>
          <w:numId w:val="38"/>
        </w:numPr>
        <w:spacing w:before="60"/>
        <w:ind w:left="567" w:hanging="567"/>
        <w:rPr>
          <w:rFonts w:ascii="Calibri" w:hAnsi="Calibri"/>
          <w:sz w:val="22"/>
          <w:szCs w:val="22"/>
        </w:rPr>
      </w:pPr>
      <w:r w:rsidRPr="009A38DB">
        <w:rPr>
          <w:rFonts w:ascii="Calibri" w:hAnsi="Calibri"/>
          <w:sz w:val="22"/>
          <w:szCs w:val="22"/>
        </w:rPr>
        <w:lastRenderedPageBreak/>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Pr="00BD6BCE" w:rsidRDefault="00AF25BE" w:rsidP="00BD6BCE">
      <w:pPr>
        <w:pStyle w:val="Zkladntext"/>
        <w:numPr>
          <w:ilvl w:val="1"/>
          <w:numId w:val="38"/>
        </w:numPr>
        <w:spacing w:before="60"/>
        <w:ind w:left="567" w:hanging="567"/>
        <w:rPr>
          <w:rFonts w:ascii="Calibri" w:hAnsi="Calibri"/>
          <w:sz w:val="22"/>
          <w:szCs w:val="22"/>
        </w:rPr>
      </w:pPr>
      <w:r w:rsidRPr="00BD6BCE">
        <w:rPr>
          <w:rFonts w:ascii="Calibri" w:hAnsi="Calibri"/>
          <w:sz w:val="22"/>
          <w:szCs w:val="22"/>
        </w:rPr>
        <w:t xml:space="preserve">Nedílnou součástí této </w:t>
      </w:r>
      <w:r w:rsidR="000E6719" w:rsidRPr="00BD6BCE">
        <w:rPr>
          <w:rFonts w:ascii="Calibri" w:hAnsi="Calibri"/>
          <w:sz w:val="22"/>
          <w:szCs w:val="22"/>
        </w:rPr>
        <w:t>Rámcové</w:t>
      </w:r>
      <w:r w:rsidR="00725475" w:rsidRPr="00BD6BCE">
        <w:rPr>
          <w:rFonts w:ascii="Calibri" w:hAnsi="Calibri"/>
          <w:sz w:val="22"/>
          <w:szCs w:val="22"/>
        </w:rPr>
        <w:t xml:space="preserve"> smlouvy </w:t>
      </w:r>
      <w:r w:rsidRPr="00BD6BCE">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514A4F6A" w14:textId="5A372E54" w:rsidR="00823470" w:rsidRDefault="00AF25BE" w:rsidP="00823470">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11F9380A" w14:textId="7245A7A9" w:rsidR="00823470" w:rsidRDefault="00823470" w:rsidP="00823470">
      <w:pPr>
        <w:pStyle w:val="Zkladntext"/>
        <w:ind w:left="540"/>
        <w:rPr>
          <w:rFonts w:ascii="Calibri" w:hAnsi="Calibri"/>
          <w:sz w:val="22"/>
          <w:szCs w:val="22"/>
        </w:rPr>
      </w:pPr>
      <w:r>
        <w:rPr>
          <w:rFonts w:ascii="Calibri" w:hAnsi="Calibri"/>
          <w:sz w:val="22"/>
          <w:szCs w:val="22"/>
        </w:rPr>
        <w:t xml:space="preserve">c) Příloha č. 3 </w:t>
      </w:r>
      <w:r w:rsidR="004E5DFC">
        <w:rPr>
          <w:rFonts w:ascii="Calibri" w:hAnsi="Calibri"/>
          <w:sz w:val="22"/>
          <w:szCs w:val="22"/>
        </w:rPr>
        <w:t>–</w:t>
      </w:r>
      <w:r>
        <w:rPr>
          <w:rFonts w:ascii="Calibri" w:hAnsi="Calibri"/>
          <w:sz w:val="22"/>
          <w:szCs w:val="22"/>
        </w:rPr>
        <w:t xml:space="preserve"> </w:t>
      </w:r>
      <w:r w:rsidR="004E5DFC">
        <w:rPr>
          <w:rFonts w:ascii="Calibri" w:hAnsi="Calibri"/>
          <w:sz w:val="22"/>
          <w:szCs w:val="22"/>
        </w:rPr>
        <w:t>Základní rozsah generální opravy převodovky</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49A35A81" w14:textId="1F93D9C3" w:rsidR="00FA1798" w:rsidRDefault="00345D76" w:rsidP="00BD6BCE">
      <w:pPr>
        <w:spacing w:before="60"/>
        <w:ind w:left="708" w:firstLine="993"/>
        <w:jc w:val="both"/>
        <w:rPr>
          <w:rFonts w:ascii="Arial" w:hAnsi="Arial" w:cs="Arial"/>
        </w:rPr>
      </w:pPr>
      <w:r>
        <w:rPr>
          <w:rFonts w:ascii="Calibri" w:hAnsi="Calibri"/>
          <w:sz w:val="22"/>
          <w:szCs w:val="22"/>
        </w:rPr>
        <w:t>člen představenstva</w:t>
      </w:r>
      <w:r w:rsidR="00FA1798">
        <w:rPr>
          <w:rFonts w:ascii="Arial" w:hAnsi="Arial" w:cs="Arial"/>
        </w:rPr>
        <w:br w:type="page"/>
      </w:r>
    </w:p>
    <w:p w14:paraId="47C73EFE" w14:textId="4C2BDBFD" w:rsidR="00E324FD" w:rsidRPr="00EA4690" w:rsidRDefault="00E324FD" w:rsidP="004E5DFC">
      <w:pPr>
        <w:pStyle w:val="Datum"/>
        <w:spacing w:line="276" w:lineRule="auto"/>
        <w:rPr>
          <w:rFonts w:ascii="Arial" w:hAnsi="Arial" w:cs="Arial"/>
          <w:b/>
          <w:bCs/>
        </w:rPr>
      </w:pPr>
      <w:r w:rsidRPr="00EA4690">
        <w:rPr>
          <w:rFonts w:ascii="Arial" w:hAnsi="Arial" w:cs="Arial"/>
          <w:b/>
          <w:bCs/>
        </w:rPr>
        <w:lastRenderedPageBreak/>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A4690" w:rsidRDefault="00E324FD" w:rsidP="004E5DFC">
      <w:pPr>
        <w:rPr>
          <w:rFonts w:ascii="Arial" w:hAnsi="Arial" w:cs="Arial"/>
          <w:b/>
          <w:sz w:val="18"/>
          <w:szCs w:val="18"/>
        </w:rPr>
      </w:pPr>
      <w:r w:rsidRPr="00EA4690">
        <w:rPr>
          <w:rFonts w:ascii="Arial" w:hAnsi="Arial" w:cs="Arial"/>
          <w:b/>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3AB2C631" w14:textId="70D8729C" w:rsidR="004E5DFC" w:rsidRDefault="004E5DFC">
      <w:pPr>
        <w:rPr>
          <w:rFonts w:ascii="Calibri" w:hAnsi="Calibri"/>
          <w:sz w:val="22"/>
        </w:rPr>
      </w:pPr>
      <w:r>
        <w:rPr>
          <w:rFonts w:ascii="Calibri" w:hAnsi="Calibri"/>
          <w:sz w:val="22"/>
        </w:rPr>
        <w:br w:type="page"/>
      </w:r>
    </w:p>
    <w:p w14:paraId="3AB1BB5D" w14:textId="2A56B488" w:rsidR="008908F1" w:rsidRPr="00EA4690" w:rsidRDefault="004E5DFC">
      <w:pPr>
        <w:rPr>
          <w:rFonts w:ascii="Arial" w:hAnsi="Arial" w:cs="Arial"/>
          <w:b/>
          <w:sz w:val="22"/>
          <w:szCs w:val="18"/>
        </w:rPr>
      </w:pPr>
      <w:r w:rsidRPr="00EA4690">
        <w:rPr>
          <w:rFonts w:ascii="Arial" w:hAnsi="Arial" w:cs="Arial"/>
          <w:b/>
          <w:sz w:val="22"/>
          <w:szCs w:val="18"/>
        </w:rPr>
        <w:lastRenderedPageBreak/>
        <w:t>Příloha č. 3 – Základní rozsah generální opravy převodovky</w:t>
      </w:r>
    </w:p>
    <w:p w14:paraId="3C47EB83" w14:textId="2E22D8A2" w:rsidR="004E5DFC" w:rsidRDefault="004E5DFC">
      <w:pPr>
        <w:rPr>
          <w:rFonts w:ascii="Arial" w:hAnsi="Arial" w:cs="Arial"/>
          <w:bCs/>
          <w:sz w:val="22"/>
          <w:szCs w:val="18"/>
        </w:rPr>
      </w:pPr>
    </w:p>
    <w:tbl>
      <w:tblPr>
        <w:tblStyle w:val="Mkatabulky"/>
        <w:tblW w:w="0" w:type="auto"/>
        <w:tblLook w:val="04A0" w:firstRow="1" w:lastRow="0" w:firstColumn="1" w:lastColumn="0" w:noHBand="0" w:noVBand="1"/>
      </w:tblPr>
      <w:tblGrid>
        <w:gridCol w:w="5097"/>
        <w:gridCol w:w="5097"/>
      </w:tblGrid>
      <w:tr w:rsidR="004E5DFC" w14:paraId="13049776" w14:textId="77777777" w:rsidTr="004E5DFC">
        <w:trPr>
          <w:gridAfter w:val="1"/>
          <w:wAfter w:w="5097" w:type="dxa"/>
        </w:trPr>
        <w:tc>
          <w:tcPr>
            <w:tcW w:w="5097" w:type="dxa"/>
            <w:vAlign w:val="center"/>
          </w:tcPr>
          <w:p w14:paraId="0C6C86F1" w14:textId="4A15BB0E" w:rsidR="004E5DFC" w:rsidRDefault="004E5DFC">
            <w:pPr>
              <w:rPr>
                <w:rFonts w:ascii="Arial" w:hAnsi="Arial" w:cs="Arial"/>
                <w:bCs/>
                <w:sz w:val="22"/>
                <w:szCs w:val="18"/>
              </w:rPr>
            </w:pPr>
            <w:r>
              <w:rPr>
                <w:rFonts w:ascii="Arial" w:hAnsi="Arial" w:cs="Arial"/>
                <w:bCs/>
                <w:sz w:val="22"/>
                <w:szCs w:val="18"/>
              </w:rPr>
              <w:t>Očištění převodovky, kompletní demontáž</w:t>
            </w:r>
          </w:p>
        </w:tc>
      </w:tr>
      <w:tr w:rsidR="004E5DFC" w14:paraId="167820F3" w14:textId="77777777" w:rsidTr="004E5DFC">
        <w:trPr>
          <w:gridAfter w:val="1"/>
          <w:wAfter w:w="5097" w:type="dxa"/>
        </w:trPr>
        <w:tc>
          <w:tcPr>
            <w:tcW w:w="5097" w:type="dxa"/>
            <w:vAlign w:val="center"/>
          </w:tcPr>
          <w:p w14:paraId="32334F2D" w14:textId="15B0A388" w:rsidR="004E5DFC" w:rsidRDefault="004E5DFC">
            <w:pPr>
              <w:rPr>
                <w:rFonts w:ascii="Arial" w:hAnsi="Arial" w:cs="Arial"/>
                <w:bCs/>
                <w:sz w:val="22"/>
                <w:szCs w:val="18"/>
              </w:rPr>
            </w:pPr>
            <w:r>
              <w:rPr>
                <w:rFonts w:ascii="Arial" w:hAnsi="Arial" w:cs="Arial"/>
                <w:bCs/>
                <w:sz w:val="22"/>
                <w:szCs w:val="18"/>
              </w:rPr>
              <w:t>O</w:t>
            </w:r>
            <w:r w:rsidRPr="004E5DFC">
              <w:rPr>
                <w:rFonts w:ascii="Arial" w:hAnsi="Arial" w:cs="Arial"/>
                <w:bCs/>
                <w:sz w:val="22"/>
                <w:szCs w:val="18"/>
              </w:rPr>
              <w:t>čistění, mytí všech dílů</w:t>
            </w:r>
          </w:p>
        </w:tc>
      </w:tr>
      <w:tr w:rsidR="004E5DFC" w14:paraId="3F00FD19" w14:textId="77777777" w:rsidTr="004E5DFC">
        <w:tc>
          <w:tcPr>
            <w:tcW w:w="5097" w:type="dxa"/>
            <w:vMerge w:val="restart"/>
            <w:vAlign w:val="center"/>
          </w:tcPr>
          <w:p w14:paraId="1994BEA8" w14:textId="097C81D8" w:rsidR="004E5DFC" w:rsidRDefault="004E5DFC">
            <w:pPr>
              <w:rPr>
                <w:rFonts w:ascii="Arial" w:hAnsi="Arial" w:cs="Arial"/>
                <w:bCs/>
                <w:sz w:val="22"/>
                <w:szCs w:val="18"/>
              </w:rPr>
            </w:pPr>
            <w:r>
              <w:rPr>
                <w:rFonts w:ascii="Arial" w:hAnsi="Arial" w:cs="Arial"/>
                <w:bCs/>
                <w:sz w:val="22"/>
                <w:szCs w:val="18"/>
              </w:rPr>
              <w:t>D</w:t>
            </w:r>
            <w:r w:rsidRPr="004E5DFC">
              <w:rPr>
                <w:rFonts w:ascii="Arial" w:hAnsi="Arial" w:cs="Arial"/>
                <w:bCs/>
                <w:sz w:val="22"/>
                <w:szCs w:val="18"/>
              </w:rPr>
              <w:t>osazení nových ND</w:t>
            </w:r>
          </w:p>
        </w:tc>
        <w:tc>
          <w:tcPr>
            <w:tcW w:w="5097" w:type="dxa"/>
          </w:tcPr>
          <w:p w14:paraId="7A62E53B" w14:textId="4AA4C9D8" w:rsidR="004E5DFC" w:rsidRDefault="004E5DFC">
            <w:pPr>
              <w:rPr>
                <w:rFonts w:ascii="Arial" w:hAnsi="Arial" w:cs="Arial"/>
                <w:bCs/>
                <w:sz w:val="22"/>
                <w:szCs w:val="18"/>
              </w:rPr>
            </w:pPr>
            <w:r w:rsidRPr="004E5DFC">
              <w:rPr>
                <w:rFonts w:ascii="Arial" w:hAnsi="Arial" w:cs="Arial"/>
                <w:bCs/>
                <w:sz w:val="22"/>
                <w:szCs w:val="18"/>
              </w:rPr>
              <w:t xml:space="preserve">kompletní sada těsnění a </w:t>
            </w:r>
            <w:proofErr w:type="spellStart"/>
            <w:r w:rsidRPr="004E5DFC">
              <w:rPr>
                <w:rFonts w:ascii="Arial" w:hAnsi="Arial" w:cs="Arial"/>
                <w:bCs/>
                <w:sz w:val="22"/>
                <w:szCs w:val="18"/>
              </w:rPr>
              <w:t>gufer</w:t>
            </w:r>
            <w:proofErr w:type="spellEnd"/>
            <w:r w:rsidRPr="004E5DFC">
              <w:rPr>
                <w:rFonts w:ascii="Arial" w:hAnsi="Arial" w:cs="Arial"/>
                <w:bCs/>
                <w:sz w:val="22"/>
                <w:szCs w:val="18"/>
              </w:rPr>
              <w:t xml:space="preserve"> na vstup a na výstupní hřídel, těsnění vany a všech vík,</w:t>
            </w:r>
          </w:p>
        </w:tc>
      </w:tr>
      <w:tr w:rsidR="004E5DFC" w14:paraId="14A8E974" w14:textId="77777777" w:rsidTr="004E5DFC">
        <w:tc>
          <w:tcPr>
            <w:tcW w:w="5097" w:type="dxa"/>
            <w:vMerge/>
            <w:vAlign w:val="center"/>
          </w:tcPr>
          <w:p w14:paraId="23FA7AE1" w14:textId="77777777" w:rsidR="004E5DFC" w:rsidRDefault="004E5DFC">
            <w:pPr>
              <w:rPr>
                <w:rFonts w:ascii="Arial" w:hAnsi="Arial" w:cs="Arial"/>
                <w:bCs/>
                <w:sz w:val="22"/>
                <w:szCs w:val="18"/>
              </w:rPr>
            </w:pPr>
          </w:p>
        </w:tc>
        <w:tc>
          <w:tcPr>
            <w:tcW w:w="5097" w:type="dxa"/>
          </w:tcPr>
          <w:p w14:paraId="5B48D890" w14:textId="45AB8C13" w:rsidR="004E5DFC" w:rsidRDefault="004E5DFC">
            <w:pPr>
              <w:rPr>
                <w:rFonts w:ascii="Arial" w:hAnsi="Arial" w:cs="Arial"/>
                <w:bCs/>
                <w:sz w:val="22"/>
                <w:szCs w:val="18"/>
              </w:rPr>
            </w:pPr>
            <w:r w:rsidRPr="004E5DFC">
              <w:rPr>
                <w:rFonts w:ascii="Arial" w:hAnsi="Arial" w:cs="Arial"/>
                <w:bCs/>
                <w:sz w:val="22"/>
                <w:szCs w:val="18"/>
              </w:rPr>
              <w:t>kompletní sada manžet a těsnících kroužků na písty lamel a potrubí,</w:t>
            </w:r>
          </w:p>
        </w:tc>
      </w:tr>
      <w:tr w:rsidR="004E5DFC" w14:paraId="488AFB49" w14:textId="77777777" w:rsidTr="004E5DFC">
        <w:tc>
          <w:tcPr>
            <w:tcW w:w="5097" w:type="dxa"/>
            <w:vMerge/>
            <w:vAlign w:val="center"/>
          </w:tcPr>
          <w:p w14:paraId="2F10B227" w14:textId="77777777" w:rsidR="004E5DFC" w:rsidRDefault="004E5DFC">
            <w:pPr>
              <w:rPr>
                <w:rFonts w:ascii="Arial" w:hAnsi="Arial" w:cs="Arial"/>
                <w:bCs/>
                <w:sz w:val="22"/>
                <w:szCs w:val="18"/>
              </w:rPr>
            </w:pPr>
          </w:p>
        </w:tc>
        <w:tc>
          <w:tcPr>
            <w:tcW w:w="5097" w:type="dxa"/>
          </w:tcPr>
          <w:p w14:paraId="2E8F3FAF" w14:textId="429A8082" w:rsidR="004E5DFC" w:rsidRDefault="004E5DFC">
            <w:pPr>
              <w:rPr>
                <w:rFonts w:ascii="Arial" w:hAnsi="Arial" w:cs="Arial"/>
                <w:bCs/>
                <w:sz w:val="22"/>
                <w:szCs w:val="18"/>
              </w:rPr>
            </w:pPr>
            <w:r w:rsidRPr="004E5DFC">
              <w:rPr>
                <w:rFonts w:ascii="Arial" w:hAnsi="Arial" w:cs="Arial"/>
                <w:bCs/>
                <w:sz w:val="22"/>
                <w:szCs w:val="18"/>
              </w:rPr>
              <w:t>kompletní sada ložisek na hřídele, satelity, měnič a turbínu,</w:t>
            </w:r>
          </w:p>
        </w:tc>
      </w:tr>
      <w:tr w:rsidR="004E5DFC" w14:paraId="392538DA" w14:textId="77777777" w:rsidTr="004E5DFC">
        <w:tc>
          <w:tcPr>
            <w:tcW w:w="5097" w:type="dxa"/>
            <w:vMerge/>
            <w:vAlign w:val="center"/>
          </w:tcPr>
          <w:p w14:paraId="16D6E9C7" w14:textId="77777777" w:rsidR="004E5DFC" w:rsidRDefault="004E5DFC">
            <w:pPr>
              <w:rPr>
                <w:rFonts w:ascii="Arial" w:hAnsi="Arial" w:cs="Arial"/>
                <w:bCs/>
                <w:sz w:val="22"/>
                <w:szCs w:val="18"/>
              </w:rPr>
            </w:pPr>
          </w:p>
        </w:tc>
        <w:tc>
          <w:tcPr>
            <w:tcW w:w="5097" w:type="dxa"/>
          </w:tcPr>
          <w:p w14:paraId="4DD32AFE" w14:textId="1A880CAE" w:rsidR="004E5DFC" w:rsidRDefault="004E5DFC">
            <w:pPr>
              <w:rPr>
                <w:rFonts w:ascii="Arial" w:hAnsi="Arial" w:cs="Arial"/>
                <w:bCs/>
                <w:sz w:val="22"/>
                <w:szCs w:val="18"/>
              </w:rPr>
            </w:pPr>
            <w:r w:rsidRPr="004E5DFC">
              <w:rPr>
                <w:rFonts w:ascii="Arial" w:hAnsi="Arial" w:cs="Arial"/>
                <w:bCs/>
                <w:sz w:val="22"/>
                <w:szCs w:val="18"/>
              </w:rPr>
              <w:t>kompletní sada pojistných kroužků,</w:t>
            </w:r>
          </w:p>
        </w:tc>
      </w:tr>
      <w:tr w:rsidR="004E5DFC" w14:paraId="66F202A3" w14:textId="77777777" w:rsidTr="004E5DFC">
        <w:tc>
          <w:tcPr>
            <w:tcW w:w="5097" w:type="dxa"/>
            <w:vMerge/>
            <w:vAlign w:val="center"/>
          </w:tcPr>
          <w:p w14:paraId="6402D038" w14:textId="77777777" w:rsidR="004E5DFC" w:rsidRDefault="004E5DFC">
            <w:pPr>
              <w:rPr>
                <w:rFonts w:ascii="Arial" w:hAnsi="Arial" w:cs="Arial"/>
                <w:bCs/>
                <w:sz w:val="22"/>
                <w:szCs w:val="18"/>
              </w:rPr>
            </w:pPr>
          </w:p>
        </w:tc>
        <w:tc>
          <w:tcPr>
            <w:tcW w:w="5097" w:type="dxa"/>
          </w:tcPr>
          <w:p w14:paraId="5AFAEA0E" w14:textId="766A59CE" w:rsidR="004E5DFC" w:rsidRDefault="004E5DFC">
            <w:pPr>
              <w:rPr>
                <w:rFonts w:ascii="Arial" w:hAnsi="Arial" w:cs="Arial"/>
                <w:bCs/>
                <w:sz w:val="22"/>
                <w:szCs w:val="18"/>
              </w:rPr>
            </w:pPr>
            <w:r w:rsidRPr="004E5DFC">
              <w:rPr>
                <w:rFonts w:ascii="Arial" w:hAnsi="Arial" w:cs="Arial"/>
                <w:bCs/>
                <w:sz w:val="22"/>
                <w:szCs w:val="18"/>
              </w:rPr>
              <w:t>kompletní sada vymezovacích podložek turbíny, satelitů, měničové skupiny,</w:t>
            </w:r>
          </w:p>
        </w:tc>
      </w:tr>
      <w:tr w:rsidR="004E5DFC" w14:paraId="37248156" w14:textId="77777777" w:rsidTr="004E5DFC">
        <w:tc>
          <w:tcPr>
            <w:tcW w:w="5097" w:type="dxa"/>
            <w:vMerge/>
            <w:vAlign w:val="center"/>
          </w:tcPr>
          <w:p w14:paraId="6D5C021A" w14:textId="77777777" w:rsidR="004E5DFC" w:rsidRDefault="004E5DFC">
            <w:pPr>
              <w:rPr>
                <w:rFonts w:ascii="Arial" w:hAnsi="Arial" w:cs="Arial"/>
                <w:bCs/>
                <w:sz w:val="22"/>
                <w:szCs w:val="18"/>
              </w:rPr>
            </w:pPr>
          </w:p>
        </w:tc>
        <w:tc>
          <w:tcPr>
            <w:tcW w:w="5097" w:type="dxa"/>
          </w:tcPr>
          <w:p w14:paraId="7DC985F2" w14:textId="582FDDF5" w:rsidR="004E5DFC" w:rsidRDefault="004E5DFC">
            <w:pPr>
              <w:rPr>
                <w:rFonts w:ascii="Arial" w:hAnsi="Arial" w:cs="Arial"/>
                <w:bCs/>
                <w:sz w:val="22"/>
                <w:szCs w:val="18"/>
              </w:rPr>
            </w:pPr>
            <w:r w:rsidRPr="004E5DFC">
              <w:rPr>
                <w:rFonts w:ascii="Arial" w:hAnsi="Arial" w:cs="Arial"/>
                <w:bCs/>
                <w:sz w:val="22"/>
                <w:szCs w:val="18"/>
              </w:rPr>
              <w:t>kompletní sada lamel do patřičných skupin,</w:t>
            </w:r>
          </w:p>
        </w:tc>
      </w:tr>
      <w:tr w:rsidR="004E5DFC" w14:paraId="13CB6BFF" w14:textId="77777777" w:rsidTr="004E5DFC">
        <w:tc>
          <w:tcPr>
            <w:tcW w:w="5097" w:type="dxa"/>
            <w:vMerge/>
            <w:vAlign w:val="center"/>
          </w:tcPr>
          <w:p w14:paraId="3F7803B5" w14:textId="77777777" w:rsidR="004E5DFC" w:rsidRDefault="004E5DFC">
            <w:pPr>
              <w:rPr>
                <w:rFonts w:ascii="Arial" w:hAnsi="Arial" w:cs="Arial"/>
                <w:bCs/>
                <w:sz w:val="22"/>
                <w:szCs w:val="18"/>
              </w:rPr>
            </w:pPr>
          </w:p>
        </w:tc>
        <w:tc>
          <w:tcPr>
            <w:tcW w:w="5097" w:type="dxa"/>
          </w:tcPr>
          <w:p w14:paraId="7A330ECB" w14:textId="34B8E054" w:rsidR="004E5DFC" w:rsidRPr="004E5DFC" w:rsidRDefault="004E5DFC">
            <w:pPr>
              <w:rPr>
                <w:rFonts w:ascii="Arial" w:hAnsi="Arial" w:cs="Arial"/>
                <w:bCs/>
                <w:sz w:val="22"/>
                <w:szCs w:val="18"/>
              </w:rPr>
            </w:pPr>
            <w:r w:rsidRPr="004E5DFC">
              <w:rPr>
                <w:rFonts w:ascii="Arial" w:hAnsi="Arial" w:cs="Arial"/>
                <w:bCs/>
                <w:sz w:val="22"/>
                <w:szCs w:val="18"/>
              </w:rPr>
              <w:t>olejové čerpadlo, turbína a měničová skupina,</w:t>
            </w:r>
          </w:p>
        </w:tc>
      </w:tr>
      <w:tr w:rsidR="004E5DFC" w14:paraId="04CF5495" w14:textId="77777777" w:rsidTr="004E5DFC">
        <w:tc>
          <w:tcPr>
            <w:tcW w:w="5097" w:type="dxa"/>
            <w:vMerge/>
            <w:vAlign w:val="center"/>
          </w:tcPr>
          <w:p w14:paraId="75C06324" w14:textId="77777777" w:rsidR="004E5DFC" w:rsidRDefault="004E5DFC">
            <w:pPr>
              <w:rPr>
                <w:rFonts w:ascii="Arial" w:hAnsi="Arial" w:cs="Arial"/>
                <w:bCs/>
                <w:sz w:val="22"/>
                <w:szCs w:val="18"/>
              </w:rPr>
            </w:pPr>
          </w:p>
        </w:tc>
        <w:tc>
          <w:tcPr>
            <w:tcW w:w="5097" w:type="dxa"/>
          </w:tcPr>
          <w:p w14:paraId="70A854EF" w14:textId="6A993FC9" w:rsidR="004E5DFC" w:rsidRPr="004E5DFC" w:rsidRDefault="004E5DFC">
            <w:pPr>
              <w:rPr>
                <w:rFonts w:ascii="Arial" w:hAnsi="Arial" w:cs="Arial"/>
                <w:bCs/>
                <w:sz w:val="22"/>
                <w:szCs w:val="18"/>
              </w:rPr>
            </w:pPr>
            <w:r w:rsidRPr="004E5DFC">
              <w:rPr>
                <w:rFonts w:ascii="Arial" w:hAnsi="Arial" w:cs="Arial"/>
                <w:bCs/>
                <w:sz w:val="22"/>
                <w:szCs w:val="18"/>
              </w:rPr>
              <w:t>sací koš, zpětné potrubí</w:t>
            </w:r>
          </w:p>
        </w:tc>
      </w:tr>
      <w:tr w:rsidR="004E5DFC" w14:paraId="79BC166A" w14:textId="77777777" w:rsidTr="004E5DFC">
        <w:tc>
          <w:tcPr>
            <w:tcW w:w="5097" w:type="dxa"/>
            <w:vMerge/>
            <w:vAlign w:val="center"/>
          </w:tcPr>
          <w:p w14:paraId="2BE8E56A" w14:textId="77777777" w:rsidR="004E5DFC" w:rsidRDefault="004E5DFC">
            <w:pPr>
              <w:rPr>
                <w:rFonts w:ascii="Arial" w:hAnsi="Arial" w:cs="Arial"/>
                <w:bCs/>
                <w:sz w:val="22"/>
                <w:szCs w:val="18"/>
              </w:rPr>
            </w:pPr>
          </w:p>
        </w:tc>
        <w:tc>
          <w:tcPr>
            <w:tcW w:w="5097" w:type="dxa"/>
          </w:tcPr>
          <w:p w14:paraId="20B5CE67" w14:textId="249B7F87" w:rsidR="004E5DFC" w:rsidRPr="004E5DFC" w:rsidRDefault="004E5DFC">
            <w:pPr>
              <w:rPr>
                <w:rFonts w:ascii="Arial" w:hAnsi="Arial" w:cs="Arial"/>
                <w:bCs/>
                <w:sz w:val="22"/>
                <w:szCs w:val="18"/>
              </w:rPr>
            </w:pPr>
            <w:r w:rsidRPr="004E5DFC">
              <w:rPr>
                <w:rFonts w:ascii="Arial" w:hAnsi="Arial" w:cs="Arial"/>
                <w:bCs/>
                <w:sz w:val="22"/>
                <w:szCs w:val="18"/>
              </w:rPr>
              <w:t>všechny tlakové hadice a olejový filtr,</w:t>
            </w:r>
          </w:p>
        </w:tc>
      </w:tr>
      <w:tr w:rsidR="004E5DFC" w14:paraId="59328625" w14:textId="77777777" w:rsidTr="004E5DFC">
        <w:tc>
          <w:tcPr>
            <w:tcW w:w="5097" w:type="dxa"/>
            <w:vMerge/>
            <w:vAlign w:val="center"/>
          </w:tcPr>
          <w:p w14:paraId="057E6FF7" w14:textId="77777777" w:rsidR="004E5DFC" w:rsidRDefault="004E5DFC">
            <w:pPr>
              <w:rPr>
                <w:rFonts w:ascii="Arial" w:hAnsi="Arial" w:cs="Arial"/>
                <w:bCs/>
                <w:sz w:val="22"/>
                <w:szCs w:val="18"/>
              </w:rPr>
            </w:pPr>
          </w:p>
        </w:tc>
        <w:tc>
          <w:tcPr>
            <w:tcW w:w="5097" w:type="dxa"/>
          </w:tcPr>
          <w:p w14:paraId="5E9A1C0A" w14:textId="1C78BD62" w:rsidR="004E5DFC" w:rsidRPr="004E5DFC" w:rsidRDefault="004E5DFC">
            <w:pPr>
              <w:rPr>
                <w:rFonts w:ascii="Arial" w:hAnsi="Arial" w:cs="Arial"/>
                <w:bCs/>
                <w:sz w:val="22"/>
                <w:szCs w:val="18"/>
              </w:rPr>
            </w:pPr>
            <w:r w:rsidRPr="004E5DFC">
              <w:rPr>
                <w:rFonts w:ascii="Arial" w:hAnsi="Arial" w:cs="Arial"/>
                <w:bCs/>
                <w:sz w:val="22"/>
                <w:szCs w:val="18"/>
              </w:rPr>
              <w:t>vnitřní kabeláž,</w:t>
            </w:r>
          </w:p>
        </w:tc>
      </w:tr>
      <w:tr w:rsidR="004E5DFC" w14:paraId="371FA5E7" w14:textId="77777777" w:rsidTr="004E5DFC">
        <w:tc>
          <w:tcPr>
            <w:tcW w:w="5097" w:type="dxa"/>
            <w:vMerge/>
            <w:vAlign w:val="center"/>
          </w:tcPr>
          <w:p w14:paraId="4C2AA5DE" w14:textId="77777777" w:rsidR="004E5DFC" w:rsidRDefault="004E5DFC">
            <w:pPr>
              <w:rPr>
                <w:rFonts w:ascii="Arial" w:hAnsi="Arial" w:cs="Arial"/>
                <w:bCs/>
                <w:sz w:val="22"/>
                <w:szCs w:val="18"/>
              </w:rPr>
            </w:pPr>
          </w:p>
        </w:tc>
        <w:tc>
          <w:tcPr>
            <w:tcW w:w="5097" w:type="dxa"/>
          </w:tcPr>
          <w:p w14:paraId="1B2A0C1E" w14:textId="054DAD12" w:rsidR="004E5DFC" w:rsidRPr="004E5DFC" w:rsidRDefault="004E5DFC">
            <w:pPr>
              <w:rPr>
                <w:rFonts w:ascii="Arial" w:hAnsi="Arial" w:cs="Arial"/>
                <w:bCs/>
                <w:sz w:val="22"/>
                <w:szCs w:val="18"/>
              </w:rPr>
            </w:pPr>
            <w:r w:rsidRPr="004E5DFC">
              <w:rPr>
                <w:rFonts w:ascii="Arial" w:hAnsi="Arial" w:cs="Arial"/>
                <w:bCs/>
                <w:sz w:val="22"/>
                <w:szCs w:val="18"/>
              </w:rPr>
              <w:t>vstupní hřídel převodovky,</w:t>
            </w:r>
          </w:p>
        </w:tc>
      </w:tr>
      <w:tr w:rsidR="004E5DFC" w14:paraId="7AB59260" w14:textId="77777777" w:rsidTr="004E5DFC">
        <w:trPr>
          <w:gridAfter w:val="1"/>
          <w:wAfter w:w="5097" w:type="dxa"/>
        </w:trPr>
        <w:tc>
          <w:tcPr>
            <w:tcW w:w="5097" w:type="dxa"/>
            <w:vAlign w:val="center"/>
          </w:tcPr>
          <w:p w14:paraId="72ED2AB0" w14:textId="1FF5043F" w:rsidR="004E5DFC" w:rsidRDefault="004E5DFC">
            <w:pPr>
              <w:rPr>
                <w:rFonts w:ascii="Arial" w:hAnsi="Arial" w:cs="Arial"/>
                <w:bCs/>
                <w:sz w:val="22"/>
                <w:szCs w:val="18"/>
              </w:rPr>
            </w:pPr>
            <w:r>
              <w:rPr>
                <w:rFonts w:ascii="Arial" w:hAnsi="Arial" w:cs="Arial"/>
                <w:bCs/>
                <w:sz w:val="22"/>
                <w:szCs w:val="18"/>
              </w:rPr>
              <w:t>K</w:t>
            </w:r>
            <w:r w:rsidRPr="004E5DFC">
              <w:rPr>
                <w:rFonts w:ascii="Arial" w:hAnsi="Arial" w:cs="Arial"/>
                <w:bCs/>
                <w:sz w:val="22"/>
                <w:szCs w:val="18"/>
              </w:rPr>
              <w:t>ontrola všech magnetických cívek, magnetických senzorů a teplotních čidel, příp. jejich výměna</w:t>
            </w:r>
          </w:p>
        </w:tc>
      </w:tr>
      <w:tr w:rsidR="004E5DFC" w14:paraId="1AECFF39" w14:textId="77777777" w:rsidTr="004E5DFC">
        <w:trPr>
          <w:gridAfter w:val="1"/>
          <w:wAfter w:w="5097" w:type="dxa"/>
        </w:trPr>
        <w:tc>
          <w:tcPr>
            <w:tcW w:w="5097" w:type="dxa"/>
            <w:vAlign w:val="center"/>
          </w:tcPr>
          <w:p w14:paraId="69D8219A" w14:textId="3897506C" w:rsidR="004E5DFC" w:rsidRDefault="004E5DFC">
            <w:pPr>
              <w:rPr>
                <w:rFonts w:ascii="Arial" w:hAnsi="Arial" w:cs="Arial"/>
                <w:bCs/>
                <w:sz w:val="22"/>
                <w:szCs w:val="18"/>
              </w:rPr>
            </w:pPr>
            <w:r>
              <w:rPr>
                <w:rFonts w:ascii="Arial" w:hAnsi="Arial" w:cs="Arial"/>
                <w:bCs/>
                <w:sz w:val="22"/>
                <w:szCs w:val="18"/>
              </w:rPr>
              <w:t>P</w:t>
            </w:r>
            <w:r w:rsidRPr="004E5DFC">
              <w:rPr>
                <w:rFonts w:ascii="Arial" w:hAnsi="Arial" w:cs="Arial"/>
                <w:bCs/>
                <w:sz w:val="22"/>
                <w:szCs w:val="18"/>
              </w:rPr>
              <w:t>rovedení kompletní montáže převodovky</w:t>
            </w:r>
          </w:p>
        </w:tc>
      </w:tr>
      <w:tr w:rsidR="004E5DFC" w14:paraId="7424E337" w14:textId="77777777" w:rsidTr="004E5DFC">
        <w:trPr>
          <w:gridAfter w:val="1"/>
          <w:wAfter w:w="5097" w:type="dxa"/>
        </w:trPr>
        <w:tc>
          <w:tcPr>
            <w:tcW w:w="5097" w:type="dxa"/>
            <w:vAlign w:val="center"/>
          </w:tcPr>
          <w:p w14:paraId="2456B0A8" w14:textId="7BFD1EE6" w:rsidR="004E5DFC" w:rsidRDefault="004E5DFC">
            <w:pPr>
              <w:rPr>
                <w:rFonts w:ascii="Arial" w:hAnsi="Arial" w:cs="Arial"/>
                <w:bCs/>
                <w:sz w:val="22"/>
                <w:szCs w:val="18"/>
              </w:rPr>
            </w:pPr>
            <w:r>
              <w:rPr>
                <w:rFonts w:ascii="Arial" w:hAnsi="Arial" w:cs="Arial"/>
                <w:bCs/>
                <w:sz w:val="22"/>
                <w:szCs w:val="18"/>
              </w:rPr>
              <w:t>O</w:t>
            </w:r>
            <w:r w:rsidRPr="004E5DFC">
              <w:rPr>
                <w:rFonts w:ascii="Arial" w:hAnsi="Arial" w:cs="Arial"/>
                <w:bCs/>
                <w:sz w:val="22"/>
                <w:szCs w:val="18"/>
              </w:rPr>
              <w:t>dzkoušení převodovky na zkušební stolici při provozní teplotě, kontrola požadovaných tlaků a procesu řazení</w:t>
            </w:r>
          </w:p>
        </w:tc>
      </w:tr>
      <w:tr w:rsidR="004E5DFC" w14:paraId="01591A0A" w14:textId="77777777" w:rsidTr="004E5DFC">
        <w:trPr>
          <w:gridAfter w:val="1"/>
          <w:wAfter w:w="5097" w:type="dxa"/>
        </w:trPr>
        <w:tc>
          <w:tcPr>
            <w:tcW w:w="5097" w:type="dxa"/>
            <w:vAlign w:val="center"/>
          </w:tcPr>
          <w:p w14:paraId="028FED47" w14:textId="1A52F7E7" w:rsidR="004E5DFC" w:rsidRDefault="004E5DFC">
            <w:pPr>
              <w:rPr>
                <w:rFonts w:ascii="Arial" w:hAnsi="Arial" w:cs="Arial"/>
                <w:bCs/>
                <w:sz w:val="22"/>
                <w:szCs w:val="18"/>
              </w:rPr>
            </w:pPr>
            <w:r>
              <w:rPr>
                <w:rFonts w:ascii="Arial" w:hAnsi="Arial" w:cs="Arial"/>
                <w:bCs/>
                <w:sz w:val="22"/>
                <w:szCs w:val="18"/>
              </w:rPr>
              <w:t>L</w:t>
            </w:r>
            <w:r w:rsidRPr="004E5DFC">
              <w:rPr>
                <w:rFonts w:ascii="Arial" w:hAnsi="Arial" w:cs="Arial"/>
                <w:bCs/>
                <w:sz w:val="22"/>
                <w:szCs w:val="18"/>
              </w:rPr>
              <w:t>akovaní převodovky</w:t>
            </w:r>
          </w:p>
        </w:tc>
      </w:tr>
    </w:tbl>
    <w:p w14:paraId="09DD82BD" w14:textId="77777777" w:rsidR="004E5DFC" w:rsidRPr="004E5DFC" w:rsidRDefault="004E5DFC">
      <w:pPr>
        <w:rPr>
          <w:rFonts w:ascii="Arial" w:hAnsi="Arial" w:cs="Arial"/>
          <w:bCs/>
          <w:sz w:val="22"/>
          <w:szCs w:val="18"/>
        </w:rPr>
      </w:pPr>
    </w:p>
    <w:sectPr w:rsidR="004E5DFC" w:rsidRPr="004E5DFC"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9F7A" w14:textId="77777777" w:rsidR="001870F6" w:rsidRDefault="001870F6">
      <w:r>
        <w:separator/>
      </w:r>
    </w:p>
  </w:endnote>
  <w:endnote w:type="continuationSeparator" w:id="0">
    <w:p w14:paraId="5677E857" w14:textId="77777777" w:rsidR="001870F6" w:rsidRDefault="001870F6">
      <w:r>
        <w:continuationSeparator/>
      </w:r>
    </w:p>
  </w:endnote>
  <w:endnote w:type="continuationNotice" w:id="1">
    <w:p w14:paraId="5147E7A6" w14:textId="77777777" w:rsidR="001870F6" w:rsidRDefault="00187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C03E" w14:textId="77777777" w:rsidR="001870F6" w:rsidRDefault="001870F6">
      <w:r>
        <w:separator/>
      </w:r>
    </w:p>
  </w:footnote>
  <w:footnote w:type="continuationSeparator" w:id="0">
    <w:p w14:paraId="1D2D15FA" w14:textId="77777777" w:rsidR="001870F6" w:rsidRDefault="001870F6">
      <w:r>
        <w:continuationSeparator/>
      </w:r>
    </w:p>
  </w:footnote>
  <w:footnote w:type="continuationNotice" w:id="1">
    <w:p w14:paraId="4CDB189B" w14:textId="77777777" w:rsidR="001870F6" w:rsidRDefault="00187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1D461F2"/>
    <w:multiLevelType w:val="multilevel"/>
    <w:tmpl w:val="22849610"/>
    <w:lvl w:ilvl="0">
      <w:start w:val="10"/>
      <w:numFmt w:val="decimal"/>
      <w:lvlText w:val="%1"/>
      <w:lvlJc w:val="left"/>
      <w:pPr>
        <w:tabs>
          <w:tab w:val="num" w:pos="360"/>
        </w:tabs>
        <w:ind w:left="360" w:hanging="360"/>
      </w:pPr>
      <w:rPr>
        <w:rFonts w:hint="default"/>
      </w:rPr>
    </w:lvl>
    <w:lvl w:ilvl="1">
      <w:start w:val="1"/>
      <w:numFmt w:val="decimal"/>
      <w:lvlText w:val="1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5"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75E2CE3"/>
    <w:multiLevelType w:val="hybridMultilevel"/>
    <w:tmpl w:val="09D20F18"/>
    <w:lvl w:ilvl="0" w:tplc="5AB0A6AE">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15B4B24"/>
    <w:multiLevelType w:val="multilevel"/>
    <w:tmpl w:val="42D089E8"/>
    <w:lvl w:ilvl="0">
      <w:start w:val="10"/>
      <w:numFmt w:val="decimal"/>
      <w:lvlText w:val="%1"/>
      <w:lvlJc w:val="left"/>
      <w:pPr>
        <w:tabs>
          <w:tab w:val="num" w:pos="360"/>
        </w:tabs>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C19042D"/>
    <w:multiLevelType w:val="multilevel"/>
    <w:tmpl w:val="B474420C"/>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36617CA"/>
    <w:multiLevelType w:val="hybridMultilevel"/>
    <w:tmpl w:val="D6646C00"/>
    <w:lvl w:ilvl="0" w:tplc="5BA40B94">
      <w:start w:val="1"/>
      <w:numFmt w:val="decimal"/>
      <w:lvlText w:val="1.%1"/>
      <w:lvlJc w:val="left"/>
      <w:pPr>
        <w:ind w:left="720" w:hanging="360"/>
      </w:pPr>
      <w:rPr>
        <w:rFonts w:hint="default"/>
      </w:rPr>
    </w:lvl>
    <w:lvl w:ilvl="1" w:tplc="D2A23056">
      <w:start w:val="1"/>
      <w:numFmt w:val="lowerLetter"/>
      <w:lvlText w:val="%2."/>
      <w:lvlJc w:val="left"/>
      <w:pPr>
        <w:ind w:left="1440" w:hanging="360"/>
      </w:pPr>
      <w:rPr>
        <w:b w:val="0"/>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14956B6"/>
    <w:multiLevelType w:val="multilevel"/>
    <w:tmpl w:val="8C2873D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30" w15:restartNumberingAfterBreak="0">
    <w:nsid w:val="48651A7C"/>
    <w:multiLevelType w:val="hybridMultilevel"/>
    <w:tmpl w:val="174C456A"/>
    <w:lvl w:ilvl="0" w:tplc="D88C1CBC">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7167251"/>
    <w:multiLevelType w:val="multilevel"/>
    <w:tmpl w:val="02442D24"/>
    <w:lvl w:ilvl="0">
      <w:start w:val="10"/>
      <w:numFmt w:val="decimal"/>
      <w:lvlText w:val="%1"/>
      <w:lvlJc w:val="left"/>
      <w:pPr>
        <w:tabs>
          <w:tab w:val="num" w:pos="360"/>
        </w:tabs>
        <w:ind w:left="360" w:hanging="360"/>
      </w:pPr>
      <w:rPr>
        <w:rFonts w:hint="default"/>
      </w:rPr>
    </w:lvl>
    <w:lvl w:ilvl="1">
      <w:start w:val="1"/>
      <w:numFmt w:val="decimal"/>
      <w:lvlText w:val="10.%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012087"/>
    <w:multiLevelType w:val="multilevel"/>
    <w:tmpl w:val="7EEA63E2"/>
    <w:lvl w:ilvl="0">
      <w:start w:val="1"/>
      <w:numFmt w:val="decimal"/>
      <w:lvlText w:val="1.%1"/>
      <w:lvlJc w:val="left"/>
      <w:pPr>
        <w:tabs>
          <w:tab w:val="num" w:pos="360"/>
        </w:tabs>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7"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8"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407780">
    <w:abstractNumId w:val="24"/>
  </w:num>
  <w:num w:numId="2" w16cid:durableId="1471094499">
    <w:abstractNumId w:val="36"/>
  </w:num>
  <w:num w:numId="3" w16cid:durableId="68431590">
    <w:abstractNumId w:val="19"/>
  </w:num>
  <w:num w:numId="4" w16cid:durableId="1219634351">
    <w:abstractNumId w:val="35"/>
  </w:num>
  <w:num w:numId="5" w16cid:durableId="538592075">
    <w:abstractNumId w:val="28"/>
  </w:num>
  <w:num w:numId="6" w16cid:durableId="977996142">
    <w:abstractNumId w:val="23"/>
  </w:num>
  <w:num w:numId="7" w16cid:durableId="78334294">
    <w:abstractNumId w:val="30"/>
  </w:num>
  <w:num w:numId="8" w16cid:durableId="606666850">
    <w:abstractNumId w:val="16"/>
  </w:num>
  <w:num w:numId="9" w16cid:durableId="1355040088">
    <w:abstractNumId w:val="27"/>
  </w:num>
  <w:num w:numId="10" w16cid:durableId="566650118">
    <w:abstractNumId w:val="34"/>
  </w:num>
  <w:num w:numId="11" w16cid:durableId="1587422224">
    <w:abstractNumId w:val="25"/>
  </w:num>
  <w:num w:numId="12" w16cid:durableId="1971860295">
    <w:abstractNumId w:val="20"/>
  </w:num>
  <w:num w:numId="13" w16cid:durableId="1191914433">
    <w:abstractNumId w:val="8"/>
  </w:num>
  <w:num w:numId="14" w16cid:durableId="2141603282">
    <w:abstractNumId w:val="3"/>
  </w:num>
  <w:num w:numId="15" w16cid:durableId="387846289">
    <w:abstractNumId w:val="2"/>
  </w:num>
  <w:num w:numId="16" w16cid:durableId="1413971484">
    <w:abstractNumId w:val="1"/>
  </w:num>
  <w:num w:numId="17" w16cid:durableId="557860719">
    <w:abstractNumId w:val="0"/>
  </w:num>
  <w:num w:numId="18" w16cid:durableId="572080835">
    <w:abstractNumId w:val="9"/>
  </w:num>
  <w:num w:numId="19" w16cid:durableId="62920023">
    <w:abstractNumId w:val="7"/>
  </w:num>
  <w:num w:numId="20" w16cid:durableId="1877303914">
    <w:abstractNumId w:val="6"/>
  </w:num>
  <w:num w:numId="21" w16cid:durableId="1450205115">
    <w:abstractNumId w:val="5"/>
  </w:num>
  <w:num w:numId="22" w16cid:durableId="1702701091">
    <w:abstractNumId w:val="4"/>
  </w:num>
  <w:num w:numId="23" w16cid:durableId="1041370151">
    <w:abstractNumId w:val="22"/>
  </w:num>
  <w:num w:numId="24"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046026756">
    <w:abstractNumId w:val="33"/>
  </w:num>
  <w:num w:numId="26" w16cid:durableId="1382821920">
    <w:abstractNumId w:val="38"/>
  </w:num>
  <w:num w:numId="27" w16cid:durableId="1912350721">
    <w:abstractNumId w:val="18"/>
  </w:num>
  <w:num w:numId="28" w16cid:durableId="1445224824">
    <w:abstractNumId w:val="14"/>
  </w:num>
  <w:num w:numId="29" w16cid:durableId="1780876303">
    <w:abstractNumId w:val="37"/>
  </w:num>
  <w:num w:numId="30" w16cid:durableId="2065596065">
    <w:abstractNumId w:val="32"/>
  </w:num>
  <w:num w:numId="31" w16cid:durableId="286206441">
    <w:abstractNumId w:val="39"/>
  </w:num>
  <w:num w:numId="32" w16cid:durableId="1476072307">
    <w:abstractNumId w:val="12"/>
  </w:num>
  <w:num w:numId="33" w16cid:durableId="979917469">
    <w:abstractNumId w:val="31"/>
  </w:num>
  <w:num w:numId="34" w16cid:durableId="1471510952">
    <w:abstractNumId w:val="29"/>
  </w:num>
  <w:num w:numId="35" w16cid:durableId="1769504759">
    <w:abstractNumId w:val="15"/>
  </w:num>
  <w:num w:numId="36" w16cid:durableId="2122146320">
    <w:abstractNumId w:val="26"/>
  </w:num>
  <w:num w:numId="37" w16cid:durableId="1467426467">
    <w:abstractNumId w:val="34"/>
  </w:num>
  <w:num w:numId="38" w16cid:durableId="1485776877">
    <w:abstractNumId w:val="13"/>
  </w:num>
  <w:num w:numId="39" w16cid:durableId="1688751018">
    <w:abstractNumId w:val="21"/>
  </w:num>
  <w:num w:numId="40" w16cid:durableId="1128595600">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318"/>
    <w:rsid w:val="0005382A"/>
    <w:rsid w:val="0005470C"/>
    <w:rsid w:val="000562C9"/>
    <w:rsid w:val="0005708F"/>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2B6D"/>
    <w:rsid w:val="000936EC"/>
    <w:rsid w:val="00093795"/>
    <w:rsid w:val="00093BDB"/>
    <w:rsid w:val="000954DD"/>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0C6"/>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870F6"/>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3D0A"/>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3E8F"/>
    <w:rsid w:val="00203EF1"/>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0FF3"/>
    <w:rsid w:val="00282074"/>
    <w:rsid w:val="002825AF"/>
    <w:rsid w:val="0028482A"/>
    <w:rsid w:val="0028613E"/>
    <w:rsid w:val="002861B0"/>
    <w:rsid w:val="00286488"/>
    <w:rsid w:val="002866DC"/>
    <w:rsid w:val="00286E0B"/>
    <w:rsid w:val="00287AF6"/>
    <w:rsid w:val="00292F13"/>
    <w:rsid w:val="00294456"/>
    <w:rsid w:val="0029505E"/>
    <w:rsid w:val="00297461"/>
    <w:rsid w:val="002A365F"/>
    <w:rsid w:val="002A3FFF"/>
    <w:rsid w:val="002A5279"/>
    <w:rsid w:val="002A52B7"/>
    <w:rsid w:val="002A560C"/>
    <w:rsid w:val="002A5911"/>
    <w:rsid w:val="002A658E"/>
    <w:rsid w:val="002B2E57"/>
    <w:rsid w:val="002B6F08"/>
    <w:rsid w:val="002B71ED"/>
    <w:rsid w:val="002B748B"/>
    <w:rsid w:val="002C0448"/>
    <w:rsid w:val="002C12AE"/>
    <w:rsid w:val="002C232A"/>
    <w:rsid w:val="002C31FA"/>
    <w:rsid w:val="002C6ADA"/>
    <w:rsid w:val="002C7317"/>
    <w:rsid w:val="002D0731"/>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120"/>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3C98"/>
    <w:rsid w:val="0048454F"/>
    <w:rsid w:val="00486978"/>
    <w:rsid w:val="004875D8"/>
    <w:rsid w:val="00494968"/>
    <w:rsid w:val="00495CC8"/>
    <w:rsid w:val="00496F13"/>
    <w:rsid w:val="004A2250"/>
    <w:rsid w:val="004A2BD9"/>
    <w:rsid w:val="004A332A"/>
    <w:rsid w:val="004A4F0B"/>
    <w:rsid w:val="004A54A6"/>
    <w:rsid w:val="004A798B"/>
    <w:rsid w:val="004B0849"/>
    <w:rsid w:val="004B1AB7"/>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DFC"/>
    <w:rsid w:val="004E5F90"/>
    <w:rsid w:val="004F05B3"/>
    <w:rsid w:val="004F2CD1"/>
    <w:rsid w:val="004F2E51"/>
    <w:rsid w:val="004F3A11"/>
    <w:rsid w:val="004F3D5B"/>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5A85"/>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61486"/>
    <w:rsid w:val="00661E32"/>
    <w:rsid w:val="006623FB"/>
    <w:rsid w:val="00665155"/>
    <w:rsid w:val="00667D1B"/>
    <w:rsid w:val="006709A7"/>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2FC2"/>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B05"/>
    <w:rsid w:val="00813FE2"/>
    <w:rsid w:val="008143E5"/>
    <w:rsid w:val="00817956"/>
    <w:rsid w:val="00822E66"/>
    <w:rsid w:val="00823470"/>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D9"/>
    <w:rsid w:val="0088052F"/>
    <w:rsid w:val="008813F1"/>
    <w:rsid w:val="00882A6E"/>
    <w:rsid w:val="008838A8"/>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440B"/>
    <w:rsid w:val="008A574D"/>
    <w:rsid w:val="008A596C"/>
    <w:rsid w:val="008A6761"/>
    <w:rsid w:val="008B36A6"/>
    <w:rsid w:val="008B4351"/>
    <w:rsid w:val="008C046B"/>
    <w:rsid w:val="008C0B12"/>
    <w:rsid w:val="008C12D8"/>
    <w:rsid w:val="008C19F0"/>
    <w:rsid w:val="008C4B85"/>
    <w:rsid w:val="008C7FA4"/>
    <w:rsid w:val="008D656D"/>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21"/>
    <w:rsid w:val="0091296B"/>
    <w:rsid w:val="00914188"/>
    <w:rsid w:val="00914E5B"/>
    <w:rsid w:val="0091611B"/>
    <w:rsid w:val="00917509"/>
    <w:rsid w:val="00920C3B"/>
    <w:rsid w:val="0092530D"/>
    <w:rsid w:val="0092783C"/>
    <w:rsid w:val="00930CE7"/>
    <w:rsid w:val="00931692"/>
    <w:rsid w:val="00933EAF"/>
    <w:rsid w:val="009342F8"/>
    <w:rsid w:val="0093542D"/>
    <w:rsid w:val="0093740A"/>
    <w:rsid w:val="00937DF2"/>
    <w:rsid w:val="0094012B"/>
    <w:rsid w:val="00941661"/>
    <w:rsid w:val="00944527"/>
    <w:rsid w:val="009469C6"/>
    <w:rsid w:val="009527A6"/>
    <w:rsid w:val="0095350C"/>
    <w:rsid w:val="0095461A"/>
    <w:rsid w:val="00954A9E"/>
    <w:rsid w:val="00956DFB"/>
    <w:rsid w:val="00957079"/>
    <w:rsid w:val="0095743A"/>
    <w:rsid w:val="00960BD5"/>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3AF"/>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10B"/>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9D9"/>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57B6F"/>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A7E65"/>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D6BC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57B2B"/>
    <w:rsid w:val="00C65A9B"/>
    <w:rsid w:val="00C66DB1"/>
    <w:rsid w:val="00C761A9"/>
    <w:rsid w:val="00C81CE9"/>
    <w:rsid w:val="00C84ED9"/>
    <w:rsid w:val="00C85294"/>
    <w:rsid w:val="00C8690C"/>
    <w:rsid w:val="00C87B52"/>
    <w:rsid w:val="00C92483"/>
    <w:rsid w:val="00C9291B"/>
    <w:rsid w:val="00C92AE9"/>
    <w:rsid w:val="00C93030"/>
    <w:rsid w:val="00C93D06"/>
    <w:rsid w:val="00C9537B"/>
    <w:rsid w:val="00C95C0E"/>
    <w:rsid w:val="00CA0B1D"/>
    <w:rsid w:val="00CA1323"/>
    <w:rsid w:val="00CA47BA"/>
    <w:rsid w:val="00CA5E35"/>
    <w:rsid w:val="00CA720C"/>
    <w:rsid w:val="00CA734E"/>
    <w:rsid w:val="00CA7B7D"/>
    <w:rsid w:val="00CA7DDE"/>
    <w:rsid w:val="00CB3A28"/>
    <w:rsid w:val="00CB4C89"/>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0D0F"/>
    <w:rsid w:val="00DB2370"/>
    <w:rsid w:val="00DB3D51"/>
    <w:rsid w:val="00DB4754"/>
    <w:rsid w:val="00DB50E2"/>
    <w:rsid w:val="00DB693D"/>
    <w:rsid w:val="00DC279D"/>
    <w:rsid w:val="00DC35B5"/>
    <w:rsid w:val="00DC4307"/>
    <w:rsid w:val="00DC4D11"/>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6CBD"/>
    <w:rsid w:val="00DF76EA"/>
    <w:rsid w:val="00DF7DEB"/>
    <w:rsid w:val="00E01319"/>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B8F"/>
    <w:rsid w:val="00E93811"/>
    <w:rsid w:val="00E96E9D"/>
    <w:rsid w:val="00EA1CD5"/>
    <w:rsid w:val="00EA3F9D"/>
    <w:rsid w:val="00EA4690"/>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2F29"/>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009">
      <w:bodyDiv w:val="1"/>
      <w:marLeft w:val="0"/>
      <w:marRight w:val="0"/>
      <w:marTop w:val="0"/>
      <w:marBottom w:val="0"/>
      <w:divBdr>
        <w:top w:val="none" w:sz="0" w:space="0" w:color="auto"/>
        <w:left w:val="none" w:sz="0" w:space="0" w:color="auto"/>
        <w:bottom w:val="none" w:sz="0" w:space="0" w:color="auto"/>
        <w:right w:val="none" w:sz="0" w:space="0" w:color="auto"/>
      </w:divBdr>
    </w:div>
    <w:div w:id="609122318">
      <w:bodyDiv w:val="1"/>
      <w:marLeft w:val="0"/>
      <w:marRight w:val="0"/>
      <w:marTop w:val="0"/>
      <w:marBottom w:val="0"/>
      <w:divBdr>
        <w:top w:val="none" w:sz="0" w:space="0" w:color="auto"/>
        <w:left w:val="none" w:sz="0" w:space="0" w:color="auto"/>
        <w:bottom w:val="none" w:sz="0" w:space="0" w:color="auto"/>
        <w:right w:val="none" w:sz="0" w:space="0" w:color="auto"/>
      </w:divBdr>
    </w:div>
    <w:div w:id="627587444">
      <w:bodyDiv w:val="1"/>
      <w:marLeft w:val="0"/>
      <w:marRight w:val="0"/>
      <w:marTop w:val="0"/>
      <w:marBottom w:val="0"/>
      <w:divBdr>
        <w:top w:val="none" w:sz="0" w:space="0" w:color="auto"/>
        <w:left w:val="none" w:sz="0" w:space="0" w:color="auto"/>
        <w:bottom w:val="none" w:sz="0" w:space="0" w:color="auto"/>
        <w:right w:val="none" w:sz="0" w:space="0" w:color="auto"/>
      </w:divBdr>
    </w:div>
    <w:div w:id="741410600">
      <w:bodyDiv w:val="1"/>
      <w:marLeft w:val="0"/>
      <w:marRight w:val="0"/>
      <w:marTop w:val="0"/>
      <w:marBottom w:val="0"/>
      <w:divBdr>
        <w:top w:val="none" w:sz="0" w:space="0" w:color="auto"/>
        <w:left w:val="none" w:sz="0" w:space="0" w:color="auto"/>
        <w:bottom w:val="none" w:sz="0" w:space="0" w:color="auto"/>
        <w:right w:val="none" w:sz="0" w:space="0" w:color="auto"/>
      </w:divBdr>
    </w:div>
    <w:div w:id="809983895">
      <w:bodyDiv w:val="1"/>
      <w:marLeft w:val="0"/>
      <w:marRight w:val="0"/>
      <w:marTop w:val="0"/>
      <w:marBottom w:val="0"/>
      <w:divBdr>
        <w:top w:val="none" w:sz="0" w:space="0" w:color="auto"/>
        <w:left w:val="none" w:sz="0" w:space="0" w:color="auto"/>
        <w:bottom w:val="none" w:sz="0" w:space="0" w:color="auto"/>
        <w:right w:val="none" w:sz="0" w:space="0" w:color="auto"/>
      </w:divBdr>
    </w:div>
    <w:div w:id="823668417">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068529277">
      <w:bodyDiv w:val="1"/>
      <w:marLeft w:val="0"/>
      <w:marRight w:val="0"/>
      <w:marTop w:val="0"/>
      <w:marBottom w:val="0"/>
      <w:divBdr>
        <w:top w:val="none" w:sz="0" w:space="0" w:color="auto"/>
        <w:left w:val="none" w:sz="0" w:space="0" w:color="auto"/>
        <w:bottom w:val="none" w:sz="0" w:space="0" w:color="auto"/>
        <w:right w:val="none" w:sz="0" w:space="0" w:color="auto"/>
      </w:divBdr>
    </w:div>
    <w:div w:id="1134175289">
      <w:bodyDiv w:val="1"/>
      <w:marLeft w:val="0"/>
      <w:marRight w:val="0"/>
      <w:marTop w:val="0"/>
      <w:marBottom w:val="0"/>
      <w:divBdr>
        <w:top w:val="none" w:sz="0" w:space="0" w:color="auto"/>
        <w:left w:val="none" w:sz="0" w:space="0" w:color="auto"/>
        <w:bottom w:val="none" w:sz="0" w:space="0" w:color="auto"/>
        <w:right w:val="none" w:sz="0" w:space="0" w:color="auto"/>
      </w:divBdr>
    </w:div>
    <w:div w:id="1140882713">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511025456">
      <w:bodyDiv w:val="1"/>
      <w:marLeft w:val="0"/>
      <w:marRight w:val="0"/>
      <w:marTop w:val="0"/>
      <w:marBottom w:val="0"/>
      <w:divBdr>
        <w:top w:val="none" w:sz="0" w:space="0" w:color="auto"/>
        <w:left w:val="none" w:sz="0" w:space="0" w:color="auto"/>
        <w:bottom w:val="none" w:sz="0" w:space="0" w:color="auto"/>
        <w:right w:val="none" w:sz="0" w:space="0" w:color="auto"/>
      </w:divBdr>
    </w:div>
    <w:div w:id="1903907231">
      <w:bodyDiv w:val="1"/>
      <w:marLeft w:val="0"/>
      <w:marRight w:val="0"/>
      <w:marTop w:val="0"/>
      <w:marBottom w:val="0"/>
      <w:divBdr>
        <w:top w:val="none" w:sz="0" w:space="0" w:color="auto"/>
        <w:left w:val="none" w:sz="0" w:space="0" w:color="auto"/>
        <w:bottom w:val="none" w:sz="0" w:space="0" w:color="auto"/>
        <w:right w:val="none" w:sz="0" w:space="0" w:color="auto"/>
      </w:divBdr>
    </w:div>
    <w:div w:id="1939173536">
      <w:bodyDiv w:val="1"/>
      <w:marLeft w:val="0"/>
      <w:marRight w:val="0"/>
      <w:marTop w:val="0"/>
      <w:marBottom w:val="0"/>
      <w:divBdr>
        <w:top w:val="none" w:sz="0" w:space="0" w:color="auto"/>
        <w:left w:val="none" w:sz="0" w:space="0" w:color="auto"/>
        <w:bottom w:val="none" w:sz="0" w:space="0" w:color="auto"/>
        <w:right w:val="none" w:sz="0" w:space="0" w:color="auto"/>
      </w:divBdr>
    </w:div>
    <w:div w:id="1945844920">
      <w:bodyDiv w:val="1"/>
      <w:marLeft w:val="0"/>
      <w:marRight w:val="0"/>
      <w:marTop w:val="0"/>
      <w:marBottom w:val="0"/>
      <w:divBdr>
        <w:top w:val="none" w:sz="0" w:space="0" w:color="auto"/>
        <w:left w:val="none" w:sz="0" w:space="0" w:color="auto"/>
        <w:bottom w:val="none" w:sz="0" w:space="0" w:color="auto"/>
        <w:right w:val="none" w:sz="0" w:space="0" w:color="auto"/>
      </w:divBdr>
    </w:div>
    <w:div w:id="1972708196">
      <w:bodyDiv w:val="1"/>
      <w:marLeft w:val="0"/>
      <w:marRight w:val="0"/>
      <w:marTop w:val="0"/>
      <w:marBottom w:val="0"/>
      <w:divBdr>
        <w:top w:val="none" w:sz="0" w:space="0" w:color="auto"/>
        <w:left w:val="none" w:sz="0" w:space="0" w:color="auto"/>
        <w:bottom w:val="none" w:sz="0" w:space="0" w:color="auto"/>
        <w:right w:val="none" w:sz="0" w:space="0" w:color="auto"/>
      </w:divBdr>
    </w:div>
    <w:div w:id="1993558339">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2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12174</Words>
  <Characters>72698</Characters>
  <Application>Microsoft Office Word</Application>
  <DocSecurity>0</DocSecurity>
  <Lines>605</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3</cp:revision>
  <cp:lastPrinted>2020-07-03T11:42:00Z</cp:lastPrinted>
  <dcterms:created xsi:type="dcterms:W3CDTF">2022-07-13T08:08:00Z</dcterms:created>
  <dcterms:modified xsi:type="dcterms:W3CDTF">2022-07-13T08:15:00Z</dcterms:modified>
</cp:coreProperties>
</file>