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534016DA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E17B9FB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27965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A3C2334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Opravy trakčních motorů typu AL 4542 FiR</w:t>
            </w:r>
          </w:p>
        </w:tc>
      </w:tr>
    </w:tbl>
    <w:p w14:paraId="5AC1557E" w14:textId="77777777" w:rsidR="00033DB0" w:rsidRPr="00861DEE" w:rsidRDefault="00033DB0" w:rsidP="00577C53">
      <w:pPr>
        <w:jc w:val="both"/>
      </w:pPr>
    </w:p>
    <w:p w14:paraId="65862480" w14:textId="77777777" w:rsidR="00451469" w:rsidRDefault="00451469" w:rsidP="00451469"/>
    <w:p w14:paraId="6F4C7319" w14:textId="4FBB750C" w:rsidR="00451469" w:rsidRDefault="00451469" w:rsidP="00451469">
      <w:pPr>
        <w:rPr>
          <w:sz w:val="22"/>
          <w:szCs w:val="22"/>
        </w:rPr>
      </w:pPr>
      <w:r>
        <w:t>Zadavatel se rozhodl sám zveřejnit vysvětlení zadávací dokumentace a to následovně:</w:t>
      </w:r>
    </w:p>
    <w:p w14:paraId="62E8665D" w14:textId="77777777" w:rsidR="00451469" w:rsidRDefault="00451469" w:rsidP="00451469"/>
    <w:p w14:paraId="08ABE75D" w14:textId="77777777" w:rsidR="00451469" w:rsidRDefault="00451469" w:rsidP="00451469">
      <w:r>
        <w:t>Při cenotvorbě bude účastník respektovat systém tvoření ceny zadavatelem, tedy v části, kde je uvedena oceňovaná položka bude tuto hodnotit v návaznosti na předpokládanou četnost</w:t>
      </w:r>
    </w:p>
    <w:p w14:paraId="45D78BA3" w14:textId="77777777" w:rsidR="00451469" w:rsidRDefault="00451469" w:rsidP="00451469">
      <w:r>
        <w:t xml:space="preserve">Plnění – např. pokud bude 1 ks položky stát 1 000,- Kč bez DPH s četností 25%, uvede uchazeč do nabídky cenu 250,- Kč. </w:t>
      </w:r>
    </w:p>
    <w:p w14:paraId="7914D689" w14:textId="77777777" w:rsidR="00451469" w:rsidRDefault="00451469" w:rsidP="00451469"/>
    <w:p w14:paraId="2F773C4F" w14:textId="77777777" w:rsidR="00451469" w:rsidRDefault="00451469" w:rsidP="00451469">
      <w:r>
        <w:t xml:space="preserve">Při uvádění termínu plnění bude uchazeč uvádět lhůty ke každé položce, byť by měly být všechny stejné z důvodu odvislého plnění. </w:t>
      </w:r>
    </w:p>
    <w:p w14:paraId="0C5163F7" w14:textId="77777777" w:rsidR="00451469" w:rsidRDefault="00451469" w:rsidP="00451469"/>
    <w:p w14:paraId="4E71B03F" w14:textId="77777777" w:rsidR="00A561B0" w:rsidRPr="00EB62D8" w:rsidRDefault="00A561B0" w:rsidP="00A561B0">
      <w:pPr>
        <w:rPr>
          <w:b/>
          <w:bCs/>
        </w:rPr>
      </w:pPr>
    </w:p>
    <w:p w14:paraId="2C2C68BE" w14:textId="44504A1C" w:rsidR="00A561B0" w:rsidRPr="00EB62D8" w:rsidRDefault="00A561B0" w:rsidP="00A561B0"/>
    <w:p w14:paraId="5737FC65" w14:textId="77777777" w:rsidR="00033DB0" w:rsidRDefault="00033DB0" w:rsidP="00A561B0">
      <w:pPr>
        <w:rPr>
          <w:rFonts w:cs="Calibri"/>
        </w:rPr>
      </w:pPr>
    </w:p>
    <w:p w14:paraId="6067282C" w14:textId="55E18B0D" w:rsidR="00A561B0" w:rsidRDefault="00A561B0" w:rsidP="00A561B0">
      <w:r>
        <w:t>V Přerově 1</w:t>
      </w:r>
      <w:r w:rsidR="00451469">
        <w:t>9</w:t>
      </w:r>
      <w:r>
        <w:t>.</w:t>
      </w:r>
      <w:r w:rsidR="00823C12">
        <w:t>8</w:t>
      </w:r>
      <w:r>
        <w:t>.2022</w:t>
      </w:r>
    </w:p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467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3724C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5CB9"/>
    <w:rsid w:val="002D6AEC"/>
    <w:rsid w:val="002E4C3A"/>
    <w:rsid w:val="002F6A3D"/>
    <w:rsid w:val="00303BCF"/>
    <w:rsid w:val="00307051"/>
    <w:rsid w:val="00307266"/>
    <w:rsid w:val="00307984"/>
    <w:rsid w:val="003209ED"/>
    <w:rsid w:val="003224C0"/>
    <w:rsid w:val="0032766A"/>
    <w:rsid w:val="00345DA6"/>
    <w:rsid w:val="00360C2E"/>
    <w:rsid w:val="00363641"/>
    <w:rsid w:val="00367059"/>
    <w:rsid w:val="00367C38"/>
    <w:rsid w:val="003906D1"/>
    <w:rsid w:val="00394CE6"/>
    <w:rsid w:val="003966DC"/>
    <w:rsid w:val="003B11A9"/>
    <w:rsid w:val="003B21D6"/>
    <w:rsid w:val="003B4010"/>
    <w:rsid w:val="003E7967"/>
    <w:rsid w:val="003F6EE1"/>
    <w:rsid w:val="00405104"/>
    <w:rsid w:val="00416697"/>
    <w:rsid w:val="004355BF"/>
    <w:rsid w:val="004461D5"/>
    <w:rsid w:val="00451469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86C14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07D1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C6109"/>
    <w:rsid w:val="007E4EE1"/>
    <w:rsid w:val="00823C12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408D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81E74"/>
    <w:rsid w:val="009C136D"/>
    <w:rsid w:val="009C633D"/>
    <w:rsid w:val="009D33B6"/>
    <w:rsid w:val="009D6828"/>
    <w:rsid w:val="009F4B8F"/>
    <w:rsid w:val="00A03FE0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36568"/>
    <w:rsid w:val="00B44E9C"/>
    <w:rsid w:val="00B46D73"/>
    <w:rsid w:val="00B64CFD"/>
    <w:rsid w:val="00B91FCB"/>
    <w:rsid w:val="00B9460F"/>
    <w:rsid w:val="00BB1AF2"/>
    <w:rsid w:val="00BC2935"/>
    <w:rsid w:val="00BC30C0"/>
    <w:rsid w:val="00BE36E5"/>
    <w:rsid w:val="00C013A1"/>
    <w:rsid w:val="00C07ACC"/>
    <w:rsid w:val="00C839D6"/>
    <w:rsid w:val="00CA0A08"/>
    <w:rsid w:val="00CA286B"/>
    <w:rsid w:val="00CB1650"/>
    <w:rsid w:val="00CB369E"/>
    <w:rsid w:val="00CC2F19"/>
    <w:rsid w:val="00CD2756"/>
    <w:rsid w:val="00CF0E35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39C8"/>
    <w:rsid w:val="00DB6536"/>
    <w:rsid w:val="00DC18C3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B62D8"/>
    <w:rsid w:val="00EC3A6F"/>
    <w:rsid w:val="00EE0C97"/>
    <w:rsid w:val="00EF00E5"/>
    <w:rsid w:val="00F03969"/>
    <w:rsid w:val="00F12920"/>
    <w:rsid w:val="00F23DC7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2022-08-19T05:46:00Z</dcterms:created>
  <dcterms:modified xsi:type="dcterms:W3CDTF">2022-08-19T05:48:00Z</dcterms:modified>
</cp:coreProperties>
</file>