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70504" w14:textId="1EE2667E" w:rsidR="00A3065B" w:rsidRPr="00752827" w:rsidRDefault="009E0E59" w:rsidP="009E0E59">
      <w:pPr>
        <w:jc w:val="center"/>
        <w:rPr>
          <w:b/>
          <w:sz w:val="32"/>
          <w:szCs w:val="32"/>
        </w:rPr>
      </w:pPr>
      <w:r w:rsidRPr="00752827">
        <w:rPr>
          <w:b/>
          <w:sz w:val="32"/>
          <w:szCs w:val="32"/>
        </w:rPr>
        <w:t xml:space="preserve">Návrh a vysvetlenie valorizačného mechanizmu pre novú súťaž na </w:t>
      </w:r>
      <w:r w:rsidR="00BA0831">
        <w:rPr>
          <w:b/>
          <w:sz w:val="32"/>
          <w:szCs w:val="32"/>
        </w:rPr>
        <w:t>Chemický posypový materiál (ďalej len „</w:t>
      </w:r>
      <w:r w:rsidRPr="00752827">
        <w:rPr>
          <w:b/>
          <w:sz w:val="32"/>
          <w:szCs w:val="32"/>
        </w:rPr>
        <w:t>CHPM</w:t>
      </w:r>
      <w:r w:rsidR="00BA0831">
        <w:rPr>
          <w:b/>
          <w:sz w:val="32"/>
          <w:szCs w:val="32"/>
        </w:rPr>
        <w:t>“)</w:t>
      </w:r>
      <w:r w:rsidRPr="00752827">
        <w:rPr>
          <w:b/>
          <w:sz w:val="32"/>
          <w:szCs w:val="32"/>
        </w:rPr>
        <w:t>.</w:t>
      </w:r>
    </w:p>
    <w:p w14:paraId="3AB85993" w14:textId="77777777" w:rsidR="009E0E59" w:rsidRPr="009E0E59" w:rsidRDefault="009E0E59">
      <w:pPr>
        <w:rPr>
          <w:sz w:val="24"/>
          <w:szCs w:val="24"/>
        </w:rPr>
      </w:pPr>
    </w:p>
    <w:p w14:paraId="4D511E44" w14:textId="77777777" w:rsidR="009E0E59" w:rsidRPr="009E0E59" w:rsidRDefault="009E0E59" w:rsidP="0075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sz w:val="24"/>
          <w:szCs w:val="24"/>
        </w:rPr>
      </w:pPr>
      <w:r w:rsidRPr="009E0E59">
        <w:rPr>
          <w:b/>
          <w:sz w:val="24"/>
          <w:szCs w:val="24"/>
        </w:rPr>
        <w:t>Zadanie:</w:t>
      </w:r>
      <w:r w:rsidRPr="009E0E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E0E59">
        <w:rPr>
          <w:i/>
          <w:sz w:val="24"/>
          <w:szCs w:val="24"/>
        </w:rPr>
        <w:t xml:space="preserve">Navrhnúť mechanizmus pre valorizáciu pohonných hmôt a prípadne komodity čo najobjektívnejším spôsobom zohľadňujúcim cenové nárasty a poklesy na </w:t>
      </w:r>
      <w:bookmarkStart w:id="0" w:name="_GoBack"/>
      <w:bookmarkEnd w:id="0"/>
      <w:r w:rsidRPr="009E0E59">
        <w:rPr>
          <w:i/>
          <w:sz w:val="24"/>
          <w:szCs w:val="24"/>
        </w:rPr>
        <w:t>trhu.</w:t>
      </w:r>
      <w:r w:rsidRPr="009E0E59">
        <w:rPr>
          <w:sz w:val="24"/>
          <w:szCs w:val="24"/>
        </w:rPr>
        <w:t xml:space="preserve"> </w:t>
      </w:r>
    </w:p>
    <w:p w14:paraId="3C02E395" w14:textId="77777777" w:rsidR="009E0E59" w:rsidRPr="009E0E59" w:rsidRDefault="009E0E59">
      <w:pPr>
        <w:rPr>
          <w:sz w:val="24"/>
          <w:szCs w:val="24"/>
        </w:rPr>
      </w:pPr>
    </w:p>
    <w:p w14:paraId="55E18C8A" w14:textId="77777777" w:rsidR="009E0E59" w:rsidRPr="009E0E59" w:rsidRDefault="009E0E59" w:rsidP="009E0E59">
      <w:pPr>
        <w:pBdr>
          <w:bottom w:val="single" w:sz="4" w:space="1" w:color="auto"/>
        </w:pBdr>
        <w:rPr>
          <w:b/>
          <w:sz w:val="24"/>
          <w:szCs w:val="24"/>
        </w:rPr>
      </w:pPr>
      <w:r w:rsidRPr="009E0E59">
        <w:rPr>
          <w:b/>
          <w:sz w:val="24"/>
          <w:szCs w:val="24"/>
        </w:rPr>
        <w:t>Návrh riešenia:</w:t>
      </w:r>
    </w:p>
    <w:p w14:paraId="48D979ED" w14:textId="77777777" w:rsidR="009E0E59" w:rsidRPr="00752827" w:rsidRDefault="009E0E59" w:rsidP="00752827">
      <w:pPr>
        <w:pStyle w:val="Odsekzoznamu"/>
        <w:numPr>
          <w:ilvl w:val="0"/>
          <w:numId w:val="2"/>
        </w:numPr>
        <w:ind w:hanging="357"/>
        <w:contextualSpacing w:val="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V súťaži sa navrhuje stanoviť požadovanú cenovú ponuku od uchádzačov ako jednotkovú cenu (ďalej len „JC“) v eurách na tonu CHPM</w:t>
      </w:r>
      <w:r w:rsidRPr="00752827">
        <w:rPr>
          <w:sz w:val="24"/>
          <w:szCs w:val="24"/>
        </w:rPr>
        <w:t xml:space="preserve">. S vyhodnotením úspešnosti uchádzača na základe kritéria najnižšej ceny. </w:t>
      </w:r>
    </w:p>
    <w:p w14:paraId="5A27533C" w14:textId="14B33C6A" w:rsidR="00752827" w:rsidRPr="00752827" w:rsidRDefault="00752827" w:rsidP="00752827">
      <w:pPr>
        <w:pStyle w:val="Odsekzoznamu"/>
        <w:numPr>
          <w:ilvl w:val="0"/>
          <w:numId w:val="2"/>
        </w:numPr>
        <w:ind w:hanging="357"/>
        <w:contextualSpacing w:val="0"/>
        <w:jc w:val="both"/>
        <w:rPr>
          <w:sz w:val="24"/>
          <w:szCs w:val="24"/>
        </w:rPr>
      </w:pPr>
      <w:r w:rsidRPr="00752827">
        <w:rPr>
          <w:sz w:val="24"/>
          <w:szCs w:val="24"/>
        </w:rPr>
        <w:t xml:space="preserve">Navrhuje sa, aby mechanizmus </w:t>
      </w:r>
      <w:r w:rsidRPr="00714787">
        <w:rPr>
          <w:sz w:val="24"/>
          <w:szCs w:val="24"/>
        </w:rPr>
        <w:t xml:space="preserve">valorizácie </w:t>
      </w:r>
      <w:r w:rsidR="00436EA4" w:rsidRPr="00714787">
        <w:rPr>
          <w:sz w:val="24"/>
          <w:szCs w:val="24"/>
        </w:rPr>
        <w:t xml:space="preserve">zmluvnej </w:t>
      </w:r>
      <w:r w:rsidRPr="00714787">
        <w:rPr>
          <w:sz w:val="24"/>
          <w:szCs w:val="24"/>
        </w:rPr>
        <w:t>hodnoty,</w:t>
      </w:r>
      <w:r w:rsidRPr="00752827">
        <w:rPr>
          <w:sz w:val="24"/>
          <w:szCs w:val="24"/>
        </w:rPr>
        <w:t xml:space="preserve"> ktorá vzišla z úspešnej súťaže bol postavený na štruktúre váh pre jednotlivé stanovené zložky. </w:t>
      </w:r>
    </w:p>
    <w:p w14:paraId="7D50F21C" w14:textId="0DFA6CB8" w:rsidR="00164CA9" w:rsidRPr="00714787" w:rsidRDefault="00752827" w:rsidP="00303950">
      <w:pPr>
        <w:pStyle w:val="Odsekzoznamu"/>
        <w:numPr>
          <w:ilvl w:val="0"/>
          <w:numId w:val="2"/>
        </w:numPr>
        <w:ind w:hanging="357"/>
        <w:contextualSpacing w:val="0"/>
        <w:jc w:val="both"/>
        <w:rPr>
          <w:b/>
          <w:sz w:val="24"/>
          <w:szCs w:val="24"/>
        </w:rPr>
      </w:pPr>
      <w:r w:rsidRPr="00752827">
        <w:rPr>
          <w:sz w:val="24"/>
          <w:szCs w:val="24"/>
        </w:rPr>
        <w:t xml:space="preserve">Následne by sa </w:t>
      </w:r>
      <w:r w:rsidRPr="00F05E65">
        <w:rPr>
          <w:b/>
          <w:sz w:val="24"/>
          <w:szCs w:val="24"/>
        </w:rPr>
        <w:t xml:space="preserve">takto stanovený pomer medzi komoditou, pohonnými látkami a inými zložkami (vysvetlené nižšie) vložil do vzorca, ktorého výsledkom je koeficient </w:t>
      </w:r>
      <w:r w:rsidRPr="00714787">
        <w:rPr>
          <w:b/>
          <w:sz w:val="24"/>
          <w:szCs w:val="24"/>
        </w:rPr>
        <w:t xml:space="preserve">úpravy </w:t>
      </w:r>
      <w:r w:rsidR="00436EA4" w:rsidRPr="00714787">
        <w:rPr>
          <w:b/>
          <w:sz w:val="24"/>
          <w:szCs w:val="24"/>
        </w:rPr>
        <w:t>zmluvnej hodnoty</w:t>
      </w:r>
      <w:r w:rsidRPr="00714787">
        <w:rPr>
          <w:b/>
          <w:sz w:val="24"/>
          <w:szCs w:val="24"/>
        </w:rPr>
        <w:t>.</w:t>
      </w:r>
    </w:p>
    <w:p w14:paraId="256508E5" w14:textId="77777777" w:rsidR="00C02698" w:rsidRPr="00752827" w:rsidRDefault="00C02698" w:rsidP="00C02698">
      <w:pPr>
        <w:pStyle w:val="Odsekzoznamu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Navrhovaný vzorec</w:t>
      </w:r>
      <w:r>
        <w:rPr>
          <w:sz w:val="24"/>
          <w:szCs w:val="24"/>
        </w:rPr>
        <w:t xml:space="preserve"> má nasledovnú podobu</w:t>
      </w:r>
      <w:r w:rsidR="00164CA9">
        <w:rPr>
          <w:sz w:val="24"/>
          <w:szCs w:val="24"/>
        </w:rPr>
        <w:t>:</w:t>
      </w:r>
    </w:p>
    <w:p w14:paraId="3013023F" w14:textId="5CC88D2F" w:rsidR="00752827" w:rsidRPr="00F05E65" w:rsidRDefault="009E0E59" w:rsidP="00176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F05E65">
        <w:rPr>
          <w:b/>
          <w:sz w:val="36"/>
          <w:szCs w:val="36"/>
        </w:rPr>
        <w:t>P</w:t>
      </w:r>
      <w:r w:rsidRPr="00F05E65">
        <w:rPr>
          <w:b/>
          <w:sz w:val="36"/>
          <w:szCs w:val="36"/>
          <w:vertAlign w:val="subscript"/>
        </w:rPr>
        <w:t xml:space="preserve">t </w:t>
      </w:r>
      <w:r w:rsidRPr="00F05E65">
        <w:rPr>
          <w:b/>
          <w:sz w:val="36"/>
          <w:szCs w:val="36"/>
        </w:rPr>
        <w:t>= 0,10 + 0,30 * (IPCPL</w:t>
      </w:r>
      <w:r w:rsidRPr="00F05E65">
        <w:rPr>
          <w:b/>
          <w:sz w:val="36"/>
          <w:szCs w:val="36"/>
          <w:vertAlign w:val="subscript"/>
        </w:rPr>
        <w:t>t</w:t>
      </w:r>
      <w:r w:rsidRPr="00F05E65">
        <w:rPr>
          <w:b/>
          <w:sz w:val="36"/>
          <w:szCs w:val="36"/>
        </w:rPr>
        <w:t xml:space="preserve"> / IPCPL</w:t>
      </w:r>
      <w:r w:rsidRPr="00F05E65">
        <w:rPr>
          <w:b/>
          <w:sz w:val="36"/>
          <w:szCs w:val="36"/>
          <w:vertAlign w:val="subscript"/>
        </w:rPr>
        <w:t>t0</w:t>
      </w:r>
      <w:r w:rsidRPr="00F05E65">
        <w:rPr>
          <w:b/>
          <w:sz w:val="36"/>
          <w:szCs w:val="36"/>
        </w:rPr>
        <w:t>) + 0,60 * (</w:t>
      </w:r>
      <w:r w:rsidR="004F311E">
        <w:rPr>
          <w:b/>
          <w:sz w:val="36"/>
          <w:szCs w:val="36"/>
        </w:rPr>
        <w:t>ICPV</w:t>
      </w:r>
      <w:r w:rsidRPr="00F05E65">
        <w:rPr>
          <w:b/>
          <w:sz w:val="36"/>
          <w:szCs w:val="36"/>
          <w:vertAlign w:val="subscript"/>
        </w:rPr>
        <w:t xml:space="preserve">t </w:t>
      </w:r>
      <w:r w:rsidRPr="00F05E65">
        <w:rPr>
          <w:b/>
          <w:sz w:val="36"/>
          <w:szCs w:val="36"/>
        </w:rPr>
        <w:t>/</w:t>
      </w:r>
      <w:r w:rsidR="004F311E">
        <w:rPr>
          <w:b/>
          <w:sz w:val="36"/>
          <w:szCs w:val="36"/>
        </w:rPr>
        <w:t>ICPV</w:t>
      </w:r>
      <w:r w:rsidRPr="00F05E65">
        <w:rPr>
          <w:b/>
          <w:sz w:val="36"/>
          <w:szCs w:val="36"/>
          <w:vertAlign w:val="subscript"/>
        </w:rPr>
        <w:t>t0</w:t>
      </w:r>
      <w:r w:rsidRPr="00F05E65">
        <w:rPr>
          <w:b/>
          <w:sz w:val="36"/>
          <w:szCs w:val="36"/>
        </w:rPr>
        <w:t>)</w:t>
      </w:r>
    </w:p>
    <w:p w14:paraId="644A088C" w14:textId="7951F08C" w:rsidR="00164CA9" w:rsidRDefault="00164CA9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P</w:t>
      </w:r>
      <w:r w:rsidRPr="00F05E65">
        <w:rPr>
          <w:b/>
          <w:sz w:val="24"/>
          <w:szCs w:val="24"/>
          <w:vertAlign w:val="subscript"/>
        </w:rPr>
        <w:t>t</w:t>
      </w:r>
      <w:r w:rsidRPr="00F05E65">
        <w:rPr>
          <w:b/>
          <w:sz w:val="36"/>
          <w:szCs w:val="36"/>
          <w:vertAlign w:val="subscript"/>
        </w:rPr>
        <w:t xml:space="preserve"> :</w:t>
      </w:r>
      <w:r>
        <w:rPr>
          <w:sz w:val="36"/>
          <w:szCs w:val="36"/>
          <w:vertAlign w:val="subscript"/>
        </w:rPr>
        <w:tab/>
      </w:r>
      <w:r w:rsidR="00AF0F8D">
        <w:rPr>
          <w:sz w:val="36"/>
          <w:szCs w:val="36"/>
          <w:vertAlign w:val="subscript"/>
        </w:rPr>
        <w:tab/>
      </w:r>
      <w:r w:rsidR="00B40A7C" w:rsidRPr="00B40A7C">
        <w:t>koeficient úpravy,</w:t>
      </w:r>
      <w:r w:rsidR="00B40A7C" w:rsidRPr="00B40A7C">
        <w:rPr>
          <w:sz w:val="24"/>
          <w:szCs w:val="24"/>
          <w:vertAlign w:val="subscript"/>
        </w:rPr>
        <w:t xml:space="preserve"> </w:t>
      </w:r>
      <w:r w:rsidR="00B40A7C" w:rsidRPr="00B40A7C">
        <w:rPr>
          <w:sz w:val="24"/>
          <w:szCs w:val="24"/>
        </w:rPr>
        <w:t xml:space="preserve">ktorého výsledná hodnota bude po stanovenom období (hodnota t) </w:t>
      </w:r>
      <w:r w:rsidR="00436EA4">
        <w:rPr>
          <w:sz w:val="24"/>
          <w:szCs w:val="24"/>
        </w:rPr>
        <w:t>použitá pre odhadnutú zmluvnú hodnotu</w:t>
      </w:r>
      <w:r w:rsidR="00B40A7C" w:rsidRPr="00B40A7C">
        <w:rPr>
          <w:sz w:val="24"/>
          <w:szCs w:val="24"/>
        </w:rPr>
        <w:t xml:space="preserve"> za dané obdobie smerom nadol alebo nahor</w:t>
      </w:r>
      <w:r w:rsidR="00436EA4">
        <w:rPr>
          <w:sz w:val="24"/>
          <w:szCs w:val="24"/>
        </w:rPr>
        <w:t>,</w:t>
      </w:r>
      <w:r w:rsidR="00B40A7C" w:rsidRPr="00B40A7C">
        <w:rPr>
          <w:sz w:val="24"/>
          <w:szCs w:val="24"/>
        </w:rPr>
        <w:t xml:space="preserve"> </w:t>
      </w:r>
      <w:r w:rsidR="00436EA4">
        <w:rPr>
          <w:sz w:val="24"/>
          <w:szCs w:val="24"/>
        </w:rPr>
        <w:t>pričom</w:t>
      </w:r>
      <w:r w:rsidR="00B40A7C" w:rsidRPr="00B40A7C">
        <w:rPr>
          <w:sz w:val="24"/>
          <w:szCs w:val="24"/>
        </w:rPr>
        <w:t xml:space="preserve"> </w:t>
      </w:r>
      <w:r w:rsidR="00436EA4">
        <w:rPr>
          <w:sz w:val="24"/>
          <w:szCs w:val="24"/>
        </w:rPr>
        <w:t xml:space="preserve"> týmto </w:t>
      </w:r>
      <w:r w:rsidR="00B40A7C" w:rsidRPr="00B40A7C">
        <w:rPr>
          <w:sz w:val="24"/>
          <w:szCs w:val="24"/>
        </w:rPr>
        <w:t xml:space="preserve">obdobím </w:t>
      </w:r>
      <w:r w:rsidR="00436EA4">
        <w:rPr>
          <w:sz w:val="24"/>
          <w:szCs w:val="24"/>
        </w:rPr>
        <w:t>je</w:t>
      </w:r>
      <w:r w:rsidR="00436EA4" w:rsidRPr="00B40A7C">
        <w:rPr>
          <w:sz w:val="24"/>
          <w:szCs w:val="24"/>
        </w:rPr>
        <w:t xml:space="preserve"> </w:t>
      </w:r>
      <w:r w:rsidR="00B40A7C" w:rsidRPr="00B40A7C">
        <w:rPr>
          <w:sz w:val="24"/>
          <w:szCs w:val="24"/>
        </w:rPr>
        <w:t>kvartál</w:t>
      </w:r>
      <w:r w:rsidR="00436EA4">
        <w:rPr>
          <w:sz w:val="24"/>
          <w:szCs w:val="24"/>
        </w:rPr>
        <w:t>.</w:t>
      </w:r>
      <w:r w:rsidR="00B40A7C" w:rsidRPr="00B40A7C">
        <w:rPr>
          <w:sz w:val="24"/>
          <w:szCs w:val="24"/>
        </w:rPr>
        <w:t xml:space="preserve"> </w:t>
      </w:r>
      <w:r w:rsidR="00B40A7C">
        <w:rPr>
          <w:sz w:val="24"/>
          <w:szCs w:val="24"/>
        </w:rPr>
        <w:t>Hodnot</w:t>
      </w:r>
      <w:r w:rsidR="00436EA4">
        <w:rPr>
          <w:sz w:val="24"/>
          <w:szCs w:val="24"/>
        </w:rPr>
        <w:t>a</w:t>
      </w:r>
      <w:r w:rsidR="00B40A7C">
        <w:rPr>
          <w:sz w:val="24"/>
          <w:szCs w:val="24"/>
        </w:rPr>
        <w:t xml:space="preserve"> koeficientu sa zaokrúhľ</w:t>
      </w:r>
      <w:r w:rsidR="00436EA4">
        <w:rPr>
          <w:sz w:val="24"/>
          <w:szCs w:val="24"/>
        </w:rPr>
        <w:t>uje</w:t>
      </w:r>
      <w:r w:rsidR="00B40A7C">
        <w:rPr>
          <w:sz w:val="24"/>
          <w:szCs w:val="24"/>
        </w:rPr>
        <w:t xml:space="preserve"> na 3 desatinné miesta. </w:t>
      </w:r>
    </w:p>
    <w:p w14:paraId="0736BEA6" w14:textId="3DEBAF30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t: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 xml:space="preserve">ukončený kvartál, teda rozhodujúce obdobie, za ktoré sa uplatňuje </w:t>
      </w:r>
      <w:r w:rsidR="00F51050">
        <w:rPr>
          <w:sz w:val="24"/>
          <w:szCs w:val="24"/>
        </w:rPr>
        <w:t xml:space="preserve">mechanizmus </w:t>
      </w:r>
      <w:r w:rsidRPr="00714787">
        <w:rPr>
          <w:sz w:val="24"/>
          <w:szCs w:val="24"/>
        </w:rPr>
        <w:t>valorizáci</w:t>
      </w:r>
      <w:r w:rsidR="00F51050" w:rsidRPr="00714787">
        <w:rPr>
          <w:sz w:val="24"/>
          <w:szCs w:val="24"/>
        </w:rPr>
        <w:t>e</w:t>
      </w:r>
      <w:r w:rsidRPr="00714787">
        <w:rPr>
          <w:sz w:val="24"/>
          <w:szCs w:val="24"/>
        </w:rPr>
        <w:t>.</w:t>
      </w:r>
    </w:p>
    <w:p w14:paraId="5A3CAD56" w14:textId="77777777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 xml:space="preserve">t0: 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>referenčné obdobie, kvartál do ktorého spadá kalendárny deň, v ktorom uplynula lehota na predkladanie ponúk do súťaže na CHPM</w:t>
      </w:r>
    </w:p>
    <w:p w14:paraId="64D29D92" w14:textId="77777777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0,10: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>pevný koeficient 10 %, ktorý reprezentuje časť nákladov na dodanie CHPM, ktoré nepodliehajú valorizácii. Tento koeficient tak reprezentuje matematicky vyjadrené podnikateľské riziko úspešného uchádzača.</w:t>
      </w:r>
    </w:p>
    <w:p w14:paraId="7EF3E85D" w14:textId="77777777" w:rsidR="00B40A7C" w:rsidRDefault="00B40A7C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0,30:</w:t>
      </w:r>
      <w:r>
        <w:rPr>
          <w:sz w:val="24"/>
          <w:szCs w:val="24"/>
        </w:rPr>
        <w:tab/>
      </w:r>
      <w:r w:rsidR="00AF0F8D">
        <w:rPr>
          <w:sz w:val="24"/>
          <w:szCs w:val="24"/>
        </w:rPr>
        <w:tab/>
      </w:r>
      <w:r>
        <w:rPr>
          <w:sz w:val="24"/>
          <w:szCs w:val="24"/>
        </w:rPr>
        <w:t xml:space="preserve">koeficient 30%, ktorý pri zmluve na nákup a dodanie CHPM reprezentuje časť nákladov na pohonné látky (motorovú naftu), ktoré podliehajú valorizačnej úprave. Táto časť je podstatne vyššia pri type zmluvy akou je nákup a dodanie CHPM, oproti napr. iným vzorcom na stavebné práce, a to z dôvodu, že dodanie a samotný presun na jednotlivé strediská operatívne podľa potreby či už v režime riadnych alebo mimoriadnych dodávok je podstatnou časťou zmluvy </w:t>
      </w:r>
      <w:r>
        <w:rPr>
          <w:sz w:val="24"/>
          <w:szCs w:val="24"/>
        </w:rPr>
        <w:lastRenderedPageBreak/>
        <w:t>a požadovanou službou zo strany prevádzkového úseku s nárokmi aj na techniku napr. cisterny na vyfúkavanie soli do síl a podobne.</w:t>
      </w:r>
    </w:p>
    <w:p w14:paraId="6E26416D" w14:textId="613F59F7" w:rsidR="00AF0F8D" w:rsidRDefault="00AF0F8D" w:rsidP="002F7615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IPCPL: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ukazovateľ „Priemerné ceny pohonných látok v SR – mesačne“ </w:t>
      </w:r>
      <w:r>
        <w:rPr>
          <w:sz w:val="24"/>
          <w:szCs w:val="24"/>
          <w:lang w:val="en-US"/>
        </w:rPr>
        <w:t xml:space="preserve">[sp0202ms] </w:t>
      </w:r>
      <w:r w:rsidR="004F311E">
        <w:rPr>
          <w:sz w:val="24"/>
          <w:szCs w:val="24"/>
          <w:lang w:val="en-US"/>
        </w:rPr>
        <w:t xml:space="preserve">(motorová nafta) </w:t>
      </w:r>
      <w:r>
        <w:rPr>
          <w:sz w:val="24"/>
          <w:szCs w:val="24"/>
          <w:lang w:val="en-US"/>
        </w:rPr>
        <w:t>na Slovensku publikovan</w:t>
      </w:r>
      <w:r>
        <w:rPr>
          <w:sz w:val="24"/>
          <w:szCs w:val="24"/>
        </w:rPr>
        <w:t xml:space="preserve">ý Štatistickým úradom SR na jeho internetovej stránke </w:t>
      </w:r>
      <w:hyperlink r:id="rId8" w:history="1">
        <w:r w:rsidRPr="00EA2643">
          <w:rPr>
            <w:rStyle w:val="Hypertextovprepojenie"/>
            <w:sz w:val="24"/>
            <w:szCs w:val="24"/>
          </w:rPr>
          <w:t>www.statistics.sk</w:t>
        </w:r>
      </w:hyperlink>
      <w:r w:rsidR="002F7615">
        <w:rPr>
          <w:rStyle w:val="Hypertextovprepojenie"/>
          <w:sz w:val="24"/>
          <w:szCs w:val="24"/>
        </w:rPr>
        <w:t>.</w:t>
      </w:r>
      <w:r w:rsidR="002F7615" w:rsidRPr="004F311E">
        <w:rPr>
          <w:rStyle w:val="Hypertextovprepojenie"/>
          <w:color w:val="auto"/>
          <w:sz w:val="24"/>
          <w:szCs w:val="24"/>
          <w:u w:val="none"/>
        </w:rPr>
        <w:t xml:space="preserve"> Vykazované mesačné hodnoty ukazovateľov je potrebné previesť na obdobie kvartál pre obdobia t0 a t tak, že sa vypočíta aritmetický priemer vykazovaných hodnôt za 3 relevantné mesiace prislúchajúce k obdobiu t_0 a t. Vypočítané aritmetické priemery sa matematicky zaokrúhľujú na 3 desatinné miesta</w:t>
      </w:r>
      <w:r w:rsidR="004F311E" w:rsidRPr="004F311E">
        <w:rPr>
          <w:rStyle w:val="Hypertextovprepojenie"/>
          <w:color w:val="auto"/>
          <w:sz w:val="24"/>
          <w:szCs w:val="24"/>
          <w:u w:val="none"/>
        </w:rPr>
        <w:t>.</w:t>
      </w:r>
    </w:p>
    <w:p w14:paraId="4CA8E65D" w14:textId="6953D680" w:rsidR="00AF0F8D" w:rsidRDefault="00AF0F8D" w:rsidP="004F311E">
      <w:pPr>
        <w:ind w:left="1416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IPCPL</w:t>
      </w:r>
      <w:r w:rsidRPr="00F05E65">
        <w:rPr>
          <w:b/>
          <w:sz w:val="24"/>
          <w:szCs w:val="24"/>
          <w:vertAlign w:val="subscript"/>
        </w:rPr>
        <w:t>t</w:t>
      </w:r>
      <w:r w:rsidRPr="00F05E65">
        <w:rPr>
          <w:b/>
          <w:sz w:val="24"/>
          <w:szCs w:val="24"/>
        </w:rPr>
        <w:t>:</w:t>
      </w:r>
      <w:r w:rsidR="004F311E">
        <w:rPr>
          <w:sz w:val="24"/>
          <w:szCs w:val="24"/>
        </w:rPr>
        <w:tab/>
      </w:r>
      <w:r>
        <w:rPr>
          <w:sz w:val="24"/>
          <w:szCs w:val="24"/>
        </w:rPr>
        <w:t>hodnota ukazovateľa zodpovedajúca kvartálu v období t.</w:t>
      </w:r>
      <w:r w:rsidR="002F7615">
        <w:rPr>
          <w:sz w:val="24"/>
          <w:szCs w:val="24"/>
        </w:rPr>
        <w:t xml:space="preserve"> Vypočíta sa ako je uvedené pri ukazovateli IPCPL.</w:t>
      </w:r>
    </w:p>
    <w:p w14:paraId="069A49B1" w14:textId="4346AC0F" w:rsidR="00AF0F8D" w:rsidRDefault="00AF0F8D" w:rsidP="004F311E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IPCPL</w:t>
      </w:r>
      <w:r w:rsidRPr="00F05E65">
        <w:rPr>
          <w:b/>
          <w:sz w:val="24"/>
          <w:szCs w:val="24"/>
          <w:vertAlign w:val="subscript"/>
        </w:rPr>
        <w:t>t0</w:t>
      </w:r>
      <w:r w:rsidRPr="00F05E65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>hodnota ukazovateľa zodpovedajúca kvartálu v referenčnom období t0.</w:t>
      </w:r>
      <w:r w:rsidR="004F311E">
        <w:rPr>
          <w:sz w:val="24"/>
          <w:szCs w:val="24"/>
        </w:rPr>
        <w:t xml:space="preserve"> </w:t>
      </w:r>
      <w:r w:rsidR="002F7615">
        <w:rPr>
          <w:sz w:val="24"/>
          <w:szCs w:val="24"/>
        </w:rPr>
        <w:t>Vypočíta sa ako je uvedené pri ukazovateli IPCPL.</w:t>
      </w:r>
    </w:p>
    <w:p w14:paraId="6809BED9" w14:textId="77777777" w:rsidR="00AF0F8D" w:rsidRDefault="00AF0F8D" w:rsidP="00AF0F8D">
      <w:pPr>
        <w:ind w:left="1410" w:hanging="141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>0,60: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koeficient 60%, ktorý pri zmluve na nákup a dodanie CHPM predstavuje časť nákladov za samotnú požadovanú komoditu, ktoré podliehajú valorizačnej úprave.</w:t>
      </w:r>
    </w:p>
    <w:p w14:paraId="58EB89D6" w14:textId="2660338A" w:rsidR="00AF0F8D" w:rsidRPr="004F311E" w:rsidRDefault="004F311E" w:rsidP="00AF0F8D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ICPV</w:t>
      </w:r>
      <w:r w:rsidR="00AF0F8D" w:rsidRPr="00F05E65">
        <w:rPr>
          <w:b/>
          <w:sz w:val="24"/>
          <w:szCs w:val="24"/>
        </w:rPr>
        <w:t>:</w:t>
      </w:r>
      <w:r w:rsidR="00AF0F8D">
        <w:rPr>
          <w:sz w:val="24"/>
          <w:szCs w:val="24"/>
        </w:rPr>
        <w:tab/>
      </w:r>
      <w:r w:rsidR="00AF0F8D" w:rsidRPr="00F05E65">
        <w:rPr>
          <w:sz w:val="24"/>
          <w:szCs w:val="24"/>
        </w:rPr>
        <w:t>ukazovateľ „Index cien priemyselných výrobcov a vody – súhrnný ukazovateľ Index cien vo výrobnej sfére oproti bázickému obdobiu – mesačne“ [sp0102ms], konkrétne sledovaná hodnota</w:t>
      </w:r>
      <w:r w:rsidR="00F05E65" w:rsidRPr="00F05E65">
        <w:rPr>
          <w:sz w:val="24"/>
          <w:szCs w:val="24"/>
        </w:rPr>
        <w:t xml:space="preserve"> pre “Ceny priemyselných výrobcov – tuzemsko a</w:t>
      </w:r>
      <w:r>
        <w:rPr>
          <w:sz w:val="24"/>
          <w:szCs w:val="24"/>
        </w:rPr>
        <w:t> ťažba a dobývanie</w:t>
      </w:r>
      <w:r w:rsidR="00F05E65" w:rsidRPr="00F05E65">
        <w:rPr>
          <w:sz w:val="24"/>
          <w:szCs w:val="24"/>
        </w:rPr>
        <w:t>”.</w:t>
      </w:r>
      <w:r w:rsidR="00AF0F8D" w:rsidRPr="00F05E65">
        <w:rPr>
          <w:sz w:val="24"/>
          <w:szCs w:val="24"/>
        </w:rPr>
        <w:t xml:space="preserve"> </w:t>
      </w:r>
      <w:r w:rsidR="00F05E65" w:rsidRPr="00F05E65">
        <w:rPr>
          <w:sz w:val="24"/>
          <w:szCs w:val="24"/>
        </w:rPr>
        <w:t>N</w:t>
      </w:r>
      <w:r w:rsidR="00AF0F8D" w:rsidRPr="00F05E65">
        <w:rPr>
          <w:sz w:val="24"/>
          <w:szCs w:val="24"/>
        </w:rPr>
        <w:t xml:space="preserve">a Slovensku publikovaný Štatistickým úradom SR na jeho internetovej stránke </w:t>
      </w:r>
      <w:hyperlink r:id="rId9" w:history="1">
        <w:r w:rsidR="00AF0F8D" w:rsidRPr="00F05E65">
          <w:rPr>
            <w:rStyle w:val="Hypertextovprepojenie"/>
            <w:sz w:val="24"/>
            <w:szCs w:val="24"/>
          </w:rPr>
          <w:t>www.statistics.sk</w:t>
        </w:r>
      </w:hyperlink>
      <w:r>
        <w:rPr>
          <w:rStyle w:val="Hypertextovprepojenie"/>
          <w:sz w:val="24"/>
          <w:szCs w:val="24"/>
        </w:rPr>
        <w:t>.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>Index cien priemyselných výrobcov (ICPV), ktorý je indexom Laspeyresovho typu (bázický rok 2015 =100, cenová báza = december 2015). Index meria vývoj cien priemyselných produktov určených na domáci trh, na export a úhrn ako tri samostatné časové rady. Index pokrýva divízie 05 - 39 SK NACE Rev. 2. Index zahŕňa nerastné suroviny, produkty priemyselnej výroby a elektrickú energiu, plyn, teplo, vodu a odpady (SK NACE Rev. 2, sekcie B, C, D a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4F311E">
        <w:rPr>
          <w:rFonts w:cstheme="minorHAnsi"/>
          <w:color w:val="333333"/>
          <w:sz w:val="24"/>
          <w:szCs w:val="24"/>
          <w:shd w:val="clear" w:color="auto" w:fill="FFFFFF"/>
        </w:rPr>
        <w:t>E).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Pre chemický posypový materiál sa zdá najvhodnejšia časť indexu „Ťažba a dobývanie“ vzhľadom na kategórie v </w:t>
      </w:r>
      <w:r w:rsidRPr="004F311E">
        <w:rPr>
          <w:sz w:val="24"/>
          <w:szCs w:val="24"/>
        </w:rPr>
        <w:t>štatistickej klasifikácii ekonomických činností SK NACE Rev. 2</w:t>
      </w:r>
      <w: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Style w:val="Hypertextovprepojenie"/>
          <w:color w:val="auto"/>
          <w:sz w:val="24"/>
          <w:szCs w:val="24"/>
          <w:u w:val="none"/>
        </w:rPr>
        <w:t xml:space="preserve">- konkrétne sekcia B 08.93.0 ťažba soli. </w:t>
      </w:r>
      <w:r w:rsidR="002F7615" w:rsidRPr="004F311E">
        <w:rPr>
          <w:rStyle w:val="Hypertextovprepojenie"/>
          <w:color w:val="auto"/>
          <w:sz w:val="24"/>
          <w:szCs w:val="24"/>
          <w:u w:val="none"/>
        </w:rPr>
        <w:t>Vykazované mesačné hodnoty ukazovateľov je potrebné previesť na obdobie kvartál pre obdobia t0 a t tak, že sa vypočíta aritmetický priemer vykazovaných hodnôt za 3 relevantné mesiace prislúchajúce k obdobiu t_0 a t. Vypočítané aritmetické priemery sa matematicky zaokrúhľujú na 3 desatinné miesta</w:t>
      </w:r>
    </w:p>
    <w:p w14:paraId="5F13AC02" w14:textId="74AE6F98" w:rsidR="00F05E65" w:rsidRDefault="004F311E" w:rsidP="00AF0F8D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ICPV</w:t>
      </w:r>
      <w:r w:rsidR="00F05E65">
        <w:rPr>
          <w:b/>
          <w:sz w:val="24"/>
          <w:szCs w:val="24"/>
        </w:rPr>
        <w:t>t</w:t>
      </w:r>
      <w:r w:rsidR="00F05E65" w:rsidRPr="00F05E65">
        <w:rPr>
          <w:b/>
          <w:sz w:val="24"/>
          <w:szCs w:val="24"/>
        </w:rPr>
        <w:t>:</w:t>
      </w:r>
      <w:r w:rsidR="00F05E65">
        <w:rPr>
          <w:b/>
          <w:sz w:val="24"/>
          <w:szCs w:val="24"/>
        </w:rPr>
        <w:tab/>
      </w:r>
      <w:r w:rsidR="00F05E65">
        <w:rPr>
          <w:sz w:val="24"/>
          <w:szCs w:val="24"/>
        </w:rPr>
        <w:t>hodnota ukazovateľa zodpovedajúca kvartálu v období t.</w:t>
      </w:r>
      <w:r w:rsidR="002F7615">
        <w:rPr>
          <w:sz w:val="24"/>
          <w:szCs w:val="24"/>
        </w:rPr>
        <w:t xml:space="preserve"> Vypočíta sa ako je uvedené pri ukazovateli ICPVV.</w:t>
      </w:r>
    </w:p>
    <w:p w14:paraId="10BABDB1" w14:textId="25848521" w:rsidR="00F05E65" w:rsidRDefault="004F311E" w:rsidP="00AF0F8D">
      <w:pPr>
        <w:ind w:left="1410" w:hanging="1410"/>
        <w:jc w:val="both"/>
        <w:rPr>
          <w:sz w:val="24"/>
          <w:szCs w:val="24"/>
        </w:rPr>
      </w:pPr>
      <w:r>
        <w:rPr>
          <w:b/>
          <w:sz w:val="24"/>
          <w:szCs w:val="24"/>
        </w:rPr>
        <w:t>ICPV</w:t>
      </w:r>
      <w:r w:rsidR="00F05E65">
        <w:rPr>
          <w:b/>
          <w:sz w:val="24"/>
          <w:szCs w:val="24"/>
        </w:rPr>
        <w:t>t0</w:t>
      </w:r>
      <w:r w:rsidR="00F05E65" w:rsidRPr="00F05E65">
        <w:rPr>
          <w:b/>
          <w:sz w:val="24"/>
          <w:szCs w:val="24"/>
        </w:rPr>
        <w:t>:</w:t>
      </w:r>
      <w:r w:rsidR="00F05E65">
        <w:rPr>
          <w:b/>
          <w:sz w:val="24"/>
          <w:szCs w:val="24"/>
        </w:rPr>
        <w:tab/>
      </w:r>
      <w:r w:rsidR="00F05E65">
        <w:rPr>
          <w:sz w:val="24"/>
          <w:szCs w:val="24"/>
        </w:rPr>
        <w:t>hodnota ukazovateľa zodpovedajúca kvartálu v referenčnom období t0.</w:t>
      </w:r>
      <w:r w:rsidR="002F7615">
        <w:rPr>
          <w:sz w:val="24"/>
          <w:szCs w:val="24"/>
        </w:rPr>
        <w:t xml:space="preserve"> Vypočíta sa ako </w:t>
      </w:r>
      <w:r>
        <w:rPr>
          <w:sz w:val="24"/>
          <w:szCs w:val="24"/>
        </w:rPr>
        <w:t>je uvedené pri ukazovateli ICPV</w:t>
      </w:r>
      <w:r w:rsidR="002F7615">
        <w:rPr>
          <w:sz w:val="24"/>
          <w:szCs w:val="24"/>
        </w:rPr>
        <w:t>.</w:t>
      </w:r>
    </w:p>
    <w:p w14:paraId="5123FA24" w14:textId="77777777" w:rsidR="00F05E65" w:rsidRDefault="00F05E65" w:rsidP="00F05E65">
      <w:pPr>
        <w:pStyle w:val="Odsekzoznamu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F05E65">
        <w:rPr>
          <w:b/>
          <w:sz w:val="24"/>
          <w:szCs w:val="24"/>
        </w:rPr>
        <w:t xml:space="preserve">Navrhovaný </w:t>
      </w:r>
      <w:r>
        <w:rPr>
          <w:b/>
          <w:sz w:val="24"/>
          <w:szCs w:val="24"/>
        </w:rPr>
        <w:t xml:space="preserve">fakturačný mechanizmus </w:t>
      </w:r>
      <w:r w:rsidRPr="00F05E65">
        <w:rPr>
          <w:sz w:val="24"/>
          <w:szCs w:val="24"/>
        </w:rPr>
        <w:t>by mal nasledovnú podobu:</w:t>
      </w:r>
    </w:p>
    <w:p w14:paraId="6C4019D5" w14:textId="77777777" w:rsidR="00F05E65" w:rsidRDefault="00716E5D" w:rsidP="00F05E65">
      <w:pPr>
        <w:pStyle w:val="Odsekzoznamu"/>
        <w:ind w:left="36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Navrhuje sa fakturovať všetky dodávky CHPM od dodávateľa riadne v zmysle </w:t>
      </w:r>
      <w:r w:rsidR="00C90742">
        <w:rPr>
          <w:b/>
          <w:sz w:val="24"/>
          <w:szCs w:val="24"/>
        </w:rPr>
        <w:t>JC</w:t>
      </w:r>
      <w:r>
        <w:rPr>
          <w:b/>
          <w:sz w:val="24"/>
          <w:szCs w:val="24"/>
        </w:rPr>
        <w:t xml:space="preserve"> na eurá za tonu CHPM</w:t>
      </w:r>
      <w:r w:rsidR="00303950">
        <w:rPr>
          <w:b/>
          <w:sz w:val="24"/>
          <w:szCs w:val="24"/>
        </w:rPr>
        <w:t>.</w:t>
      </w:r>
    </w:p>
    <w:p w14:paraId="722BE9A7" w14:textId="77777777" w:rsidR="00303950" w:rsidRP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 uplynutí prvého kvartálneho obdobia, ktoré sa začne počítať odo dňa účinnosti zmluvy aplikovať valorizačný mechanizmus. Vzhľadom na výsledok sú možné tri scenáre kedy </w:t>
      </w:r>
      <w:r w:rsidRPr="00C90742">
        <w:rPr>
          <w:sz w:val="24"/>
          <w:szCs w:val="24"/>
        </w:rPr>
        <w:t>v</w:t>
      </w:r>
      <w:r w:rsidRPr="00303950">
        <w:rPr>
          <w:sz w:val="24"/>
          <w:szCs w:val="24"/>
        </w:rPr>
        <w:t>ýsledný koeficient úpravy môže dosahovať hodnotu:</w:t>
      </w:r>
    </w:p>
    <w:p w14:paraId="19AF8D74" w14:textId="77777777" w:rsidR="00303950" w:rsidRDefault="00303950" w:rsidP="00303950">
      <w:pPr>
        <w:pStyle w:val="Odsekzoznamu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väčšiu ako číslo 1 = dodatočné finančné nároky</w:t>
      </w:r>
    </w:p>
    <w:p w14:paraId="7ED25043" w14:textId="77777777" w:rsidR="00303950" w:rsidRDefault="00303950" w:rsidP="00303950">
      <w:pPr>
        <w:pStyle w:val="Odsekzoznamu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nižšiu ako číslo 1 = zníženie finančných nárokov</w:t>
      </w:r>
    </w:p>
    <w:p w14:paraId="655E1239" w14:textId="77777777" w:rsidR="00F05E65" w:rsidRDefault="00303950" w:rsidP="00303950">
      <w:pPr>
        <w:pStyle w:val="Odsekzoznamu"/>
        <w:numPr>
          <w:ilvl w:val="1"/>
          <w:numId w:val="2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rovnú číslu 1 = bez zmeny vo finančných nárokoch</w:t>
      </w:r>
    </w:p>
    <w:p w14:paraId="64EE0685" w14:textId="31A974A5" w:rsid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Dodatočné finančné nároky sa budú fakturovať mimoriadnou kvartálnou faktúrou, v ktorej sa dodávateľovi zaplatí len rozdiel medzi </w:t>
      </w:r>
      <w:r w:rsidR="0061544D" w:rsidRPr="00714787">
        <w:rPr>
          <w:sz w:val="24"/>
          <w:szCs w:val="24"/>
        </w:rPr>
        <w:t>zmluvnou hodnotou</w:t>
      </w:r>
      <w:r w:rsidRPr="00714787">
        <w:rPr>
          <w:sz w:val="24"/>
          <w:szCs w:val="24"/>
        </w:rPr>
        <w:t xml:space="preserve"> vynásobenou koeficientom úpravy a zaplatenou </w:t>
      </w:r>
      <w:r w:rsidR="0061544D" w:rsidRPr="00714787">
        <w:rPr>
          <w:sz w:val="24"/>
          <w:szCs w:val="24"/>
        </w:rPr>
        <w:t xml:space="preserve">zmluvnou hodnotou </w:t>
      </w:r>
      <w:r w:rsidRPr="00714787">
        <w:rPr>
          <w:sz w:val="24"/>
          <w:szCs w:val="24"/>
        </w:rPr>
        <w:t xml:space="preserve">v zmysle </w:t>
      </w:r>
      <w:r w:rsidR="0061544D" w:rsidRPr="00714787">
        <w:rPr>
          <w:sz w:val="24"/>
          <w:szCs w:val="24"/>
        </w:rPr>
        <w:t>predložených</w:t>
      </w:r>
      <w:r w:rsidR="0061544D">
        <w:rPr>
          <w:sz w:val="24"/>
          <w:szCs w:val="24"/>
        </w:rPr>
        <w:t xml:space="preserve"> objednávok </w:t>
      </w:r>
      <w:r>
        <w:rPr>
          <w:sz w:val="24"/>
          <w:szCs w:val="24"/>
        </w:rPr>
        <w:t xml:space="preserve">. Prepočítaný na všetky dodané tony CHPM. </w:t>
      </w:r>
      <w:r w:rsidR="00D30A0B">
        <w:rPr>
          <w:sz w:val="24"/>
          <w:szCs w:val="24"/>
        </w:rPr>
        <w:t>Prílohou faktúry je výpočet v zmysle aplikovaného vzorca.</w:t>
      </w:r>
    </w:p>
    <w:p w14:paraId="1A7D1926" w14:textId="275D3036" w:rsid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Zníženie finančných nárokov sa oznámi </w:t>
      </w:r>
      <w:r w:rsidR="00D30A0B">
        <w:rPr>
          <w:sz w:val="24"/>
          <w:szCs w:val="24"/>
        </w:rPr>
        <w:t>odberateľovi</w:t>
      </w:r>
      <w:r>
        <w:rPr>
          <w:sz w:val="24"/>
          <w:szCs w:val="24"/>
        </w:rPr>
        <w:t xml:space="preserve">, pričom sa navrhuje </w:t>
      </w:r>
      <w:r w:rsidR="00D30A0B">
        <w:rPr>
          <w:sz w:val="24"/>
          <w:szCs w:val="24"/>
        </w:rPr>
        <w:t>tento pokles</w:t>
      </w:r>
      <w:r>
        <w:rPr>
          <w:sz w:val="24"/>
          <w:szCs w:val="24"/>
        </w:rPr>
        <w:t xml:space="preserve"> ponížiť </w:t>
      </w:r>
      <w:r w:rsidR="00D30A0B">
        <w:rPr>
          <w:sz w:val="24"/>
          <w:szCs w:val="24"/>
        </w:rPr>
        <w:t xml:space="preserve">formou dobropisu </w:t>
      </w:r>
      <w:r>
        <w:rPr>
          <w:sz w:val="24"/>
          <w:szCs w:val="24"/>
        </w:rPr>
        <w:t xml:space="preserve">o rozdiel medzi </w:t>
      </w:r>
      <w:r w:rsidRPr="00714787">
        <w:rPr>
          <w:sz w:val="24"/>
          <w:szCs w:val="24"/>
        </w:rPr>
        <w:t xml:space="preserve">zaplatenou </w:t>
      </w:r>
      <w:r w:rsidR="0061544D" w:rsidRPr="00714787">
        <w:rPr>
          <w:sz w:val="24"/>
          <w:szCs w:val="24"/>
        </w:rPr>
        <w:t xml:space="preserve">zmluvnou hodnotou </w:t>
      </w:r>
      <w:r w:rsidRPr="00714787">
        <w:rPr>
          <w:sz w:val="24"/>
          <w:szCs w:val="24"/>
        </w:rPr>
        <w:t xml:space="preserve">v zmysle </w:t>
      </w:r>
      <w:r w:rsidR="0061544D" w:rsidRPr="00714787">
        <w:rPr>
          <w:sz w:val="24"/>
          <w:szCs w:val="24"/>
        </w:rPr>
        <w:t>predložených objednávok</w:t>
      </w:r>
      <w:r w:rsidRPr="00714787">
        <w:rPr>
          <w:sz w:val="24"/>
          <w:szCs w:val="24"/>
        </w:rPr>
        <w:t xml:space="preserve"> a</w:t>
      </w:r>
      <w:r w:rsidR="0061544D" w:rsidRPr="00714787">
        <w:rPr>
          <w:sz w:val="24"/>
          <w:szCs w:val="24"/>
        </w:rPr>
        <w:t xml:space="preserve"> zmluvnou hodnotou </w:t>
      </w:r>
      <w:r w:rsidRPr="00714787">
        <w:rPr>
          <w:sz w:val="24"/>
          <w:szCs w:val="24"/>
        </w:rPr>
        <w:t>vynásobenou</w:t>
      </w:r>
      <w:r>
        <w:rPr>
          <w:sz w:val="24"/>
          <w:szCs w:val="24"/>
        </w:rPr>
        <w:t xml:space="preserve"> koeficientom úpravy. Prepočítaný na všetky dodané tony CHPM.</w:t>
      </w:r>
    </w:p>
    <w:p w14:paraId="4C3A91CF" w14:textId="3BB3C9EE" w:rsidR="00303950" w:rsidRDefault="00303950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Finančné nároky bez zmeny sa len oznámia </w:t>
      </w:r>
      <w:r w:rsidR="00D30A0B">
        <w:rPr>
          <w:sz w:val="24"/>
          <w:szCs w:val="24"/>
        </w:rPr>
        <w:t>odberateľovi (NDS)</w:t>
      </w:r>
      <w:r>
        <w:rPr>
          <w:sz w:val="24"/>
          <w:szCs w:val="24"/>
        </w:rPr>
        <w:t xml:space="preserve"> bez finančných nárokov uplatňovaných za daný kvartál tak pre NDS ako aj pre dodávateľa. </w:t>
      </w:r>
    </w:p>
    <w:p w14:paraId="7DF88537" w14:textId="77777777" w:rsidR="00303950" w:rsidRPr="00303950" w:rsidRDefault="00303950" w:rsidP="00303950">
      <w:pPr>
        <w:pStyle w:val="Odsekzoznamu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Praktický príklad</w:t>
      </w:r>
      <w:r w:rsidR="00BC2FB2">
        <w:rPr>
          <w:b/>
          <w:sz w:val="24"/>
          <w:szCs w:val="24"/>
        </w:rPr>
        <w:t xml:space="preserve"> </w:t>
      </w:r>
      <w:r w:rsidR="00BC2FB2" w:rsidRPr="00BC2FB2">
        <w:rPr>
          <w:sz w:val="24"/>
          <w:szCs w:val="24"/>
        </w:rPr>
        <w:t>(hodnoty sú ilustračné)</w:t>
      </w:r>
      <w:r w:rsidRPr="00BC2FB2">
        <w:rPr>
          <w:sz w:val="24"/>
          <w:szCs w:val="24"/>
        </w:rPr>
        <w:t>:</w:t>
      </w:r>
    </w:p>
    <w:p w14:paraId="421B9913" w14:textId="77777777" w:rsidR="00303950" w:rsidRPr="00BC2FB2" w:rsidRDefault="007F4294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Úspešný uchádzač </w:t>
      </w:r>
      <w:r w:rsidR="00C90742" w:rsidRPr="00BC2FB2">
        <w:rPr>
          <w:sz w:val="24"/>
          <w:szCs w:val="24"/>
        </w:rPr>
        <w:t xml:space="preserve">predložil ponuku na 100 eur za tonu CHPM. </w:t>
      </w:r>
    </w:p>
    <w:p w14:paraId="37CC3EC0" w14:textId="77777777" w:rsidR="00C90742" w:rsidRPr="00BC2FB2" w:rsidRDefault="00C90742" w:rsidP="00303950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Lehota na predkladanie ponúk uplynula v marci 2022. Referenčné obdobie t0 je tak marcová hodnota v sledovaných indexoch. </w:t>
      </w:r>
    </w:p>
    <w:p w14:paraId="31902537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Dodávateľ dodal na strediská v zmysle zmluvy 1 000 ton za tri mesiace od účinnosti zmluvy od apríla 2022 do júna 2022. </w:t>
      </w:r>
    </w:p>
    <w:p w14:paraId="01F0842E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Valorizačný mechanizmus sa aplikuje za prvý kvartál od účinnosti zmluvy za mesiace od apríla 2022 do júna 2022. </w:t>
      </w:r>
    </w:p>
    <w:p w14:paraId="030B79FC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Pri zverejňovaní údajov v Štatistickom úrade dochádza k posunu, teda júnová hodnota je známa v mesiaci júl napríklad. </w:t>
      </w:r>
    </w:p>
    <w:p w14:paraId="6A535E89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>Koeficient úpravy sa vypočíta v mesiaci júl nasledovne:</w:t>
      </w:r>
    </w:p>
    <w:p w14:paraId="1B5EA222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b/>
          <w:sz w:val="24"/>
          <w:szCs w:val="24"/>
        </w:rPr>
      </w:pPr>
      <w:r w:rsidRPr="00BC2FB2">
        <w:rPr>
          <w:b/>
          <w:sz w:val="24"/>
          <w:szCs w:val="24"/>
        </w:rPr>
        <w:t>P</w:t>
      </w:r>
      <w:r w:rsidRPr="00BC2FB2">
        <w:rPr>
          <w:b/>
          <w:sz w:val="24"/>
          <w:szCs w:val="24"/>
          <w:vertAlign w:val="subscript"/>
        </w:rPr>
        <w:t xml:space="preserve">t </w:t>
      </w:r>
      <w:r w:rsidRPr="00BC2FB2">
        <w:rPr>
          <w:b/>
          <w:sz w:val="24"/>
          <w:szCs w:val="24"/>
        </w:rPr>
        <w:t>= 0,10 + 0,30 * (</w:t>
      </w:r>
      <w:r w:rsidR="00BC2FB2" w:rsidRPr="00BC2FB2">
        <w:rPr>
          <w:b/>
          <w:sz w:val="24"/>
          <w:szCs w:val="24"/>
        </w:rPr>
        <w:t>1,</w:t>
      </w:r>
      <w:r w:rsidRPr="00BC2FB2">
        <w:rPr>
          <w:b/>
          <w:sz w:val="24"/>
          <w:szCs w:val="24"/>
        </w:rPr>
        <w:t xml:space="preserve">591 / </w:t>
      </w:r>
      <w:r w:rsidR="00BC2FB2" w:rsidRPr="00BC2FB2">
        <w:rPr>
          <w:b/>
          <w:sz w:val="24"/>
          <w:szCs w:val="24"/>
        </w:rPr>
        <w:t>1,</w:t>
      </w:r>
      <w:r w:rsidRPr="00BC2FB2">
        <w:rPr>
          <w:b/>
          <w:sz w:val="24"/>
          <w:szCs w:val="24"/>
        </w:rPr>
        <w:t>340) + 0,60 * (</w:t>
      </w:r>
      <w:r w:rsidR="00BC2FB2" w:rsidRPr="00BC2FB2">
        <w:rPr>
          <w:b/>
          <w:sz w:val="24"/>
          <w:szCs w:val="24"/>
        </w:rPr>
        <w:t>1,</w:t>
      </w:r>
      <w:r w:rsidRPr="00BC2FB2">
        <w:rPr>
          <w:b/>
          <w:sz w:val="24"/>
          <w:szCs w:val="24"/>
        </w:rPr>
        <w:t>605</w:t>
      </w:r>
      <w:r w:rsidRPr="00BC2FB2">
        <w:rPr>
          <w:b/>
          <w:sz w:val="24"/>
          <w:szCs w:val="24"/>
          <w:vertAlign w:val="subscript"/>
        </w:rPr>
        <w:t xml:space="preserve"> </w:t>
      </w:r>
      <w:r w:rsidRPr="00BC2FB2">
        <w:rPr>
          <w:b/>
          <w:sz w:val="24"/>
          <w:szCs w:val="24"/>
        </w:rPr>
        <w:t>/</w:t>
      </w:r>
      <w:r w:rsidR="00BC2FB2" w:rsidRPr="00BC2FB2">
        <w:rPr>
          <w:b/>
          <w:sz w:val="24"/>
          <w:szCs w:val="24"/>
        </w:rPr>
        <w:t>1,</w:t>
      </w:r>
      <w:r w:rsidRPr="00BC2FB2">
        <w:rPr>
          <w:b/>
          <w:sz w:val="24"/>
          <w:szCs w:val="24"/>
        </w:rPr>
        <w:t>405)</w:t>
      </w:r>
    </w:p>
    <w:p w14:paraId="187EA18F" w14:textId="77777777" w:rsidR="00C90742" w:rsidRPr="00BC2FB2" w:rsidRDefault="00C90742" w:rsidP="00C90742">
      <w:pPr>
        <w:pStyle w:val="Odsekzoznamu"/>
        <w:ind w:left="360"/>
        <w:contextualSpacing w:val="0"/>
        <w:jc w:val="both"/>
        <w:rPr>
          <w:b/>
          <w:sz w:val="24"/>
          <w:szCs w:val="24"/>
        </w:rPr>
      </w:pPr>
      <w:r w:rsidRPr="00BC2FB2">
        <w:rPr>
          <w:b/>
          <w:sz w:val="24"/>
          <w:szCs w:val="24"/>
        </w:rPr>
        <w:t>P</w:t>
      </w:r>
      <w:r w:rsidRPr="00BC2FB2">
        <w:rPr>
          <w:b/>
          <w:sz w:val="24"/>
          <w:szCs w:val="24"/>
          <w:vertAlign w:val="subscript"/>
        </w:rPr>
        <w:t xml:space="preserve">t </w:t>
      </w:r>
      <w:r w:rsidRPr="00BC2FB2">
        <w:rPr>
          <w:b/>
          <w:sz w:val="24"/>
          <w:szCs w:val="24"/>
        </w:rPr>
        <w:t>= 0,10 + 0,30 * (</w:t>
      </w:r>
      <w:r w:rsidR="00BC2FB2" w:rsidRPr="00BC2FB2">
        <w:rPr>
          <w:b/>
          <w:sz w:val="24"/>
          <w:szCs w:val="24"/>
        </w:rPr>
        <w:t>1,187</w:t>
      </w:r>
      <w:r w:rsidRPr="00BC2FB2">
        <w:rPr>
          <w:b/>
          <w:sz w:val="24"/>
          <w:szCs w:val="24"/>
        </w:rPr>
        <w:t>) + 0,60 * (</w:t>
      </w:r>
      <w:r w:rsidR="00BC2FB2" w:rsidRPr="00BC2FB2">
        <w:rPr>
          <w:b/>
          <w:sz w:val="24"/>
          <w:szCs w:val="24"/>
        </w:rPr>
        <w:t>1,142</w:t>
      </w:r>
      <w:r w:rsidRPr="00BC2FB2">
        <w:rPr>
          <w:b/>
          <w:sz w:val="24"/>
          <w:szCs w:val="24"/>
        </w:rPr>
        <w:t>)</w:t>
      </w:r>
      <w:r w:rsidR="00BC2FB2" w:rsidRPr="00BC2FB2">
        <w:rPr>
          <w:rStyle w:val="Odkaznapoznmkupodiarou"/>
          <w:b/>
          <w:sz w:val="24"/>
          <w:szCs w:val="24"/>
        </w:rPr>
        <w:footnoteReference w:id="1"/>
      </w:r>
    </w:p>
    <w:p w14:paraId="4D08AF0F" w14:textId="77777777" w:rsidR="00BC2FB2" w:rsidRPr="00BC2FB2" w:rsidRDefault="00BC2FB2" w:rsidP="00BC2FB2">
      <w:pPr>
        <w:pStyle w:val="Odsekzoznamu"/>
        <w:ind w:left="360"/>
        <w:contextualSpacing w:val="0"/>
        <w:jc w:val="both"/>
        <w:rPr>
          <w:b/>
          <w:sz w:val="24"/>
          <w:szCs w:val="24"/>
        </w:rPr>
      </w:pPr>
      <w:r w:rsidRPr="00BC2FB2">
        <w:rPr>
          <w:b/>
          <w:sz w:val="24"/>
          <w:szCs w:val="24"/>
        </w:rPr>
        <w:t>P</w:t>
      </w:r>
      <w:r w:rsidRPr="00BC2FB2">
        <w:rPr>
          <w:b/>
          <w:sz w:val="24"/>
          <w:szCs w:val="24"/>
          <w:vertAlign w:val="subscript"/>
        </w:rPr>
        <w:t xml:space="preserve">t </w:t>
      </w:r>
      <w:r w:rsidRPr="00BC2FB2">
        <w:rPr>
          <w:b/>
          <w:sz w:val="24"/>
          <w:szCs w:val="24"/>
        </w:rPr>
        <w:t>= 0,10 + 0,356 + 0,685</w:t>
      </w:r>
    </w:p>
    <w:p w14:paraId="6130B08F" w14:textId="77777777" w:rsidR="00BC2FB2" w:rsidRPr="00BC2FB2" w:rsidRDefault="00BC2FB2" w:rsidP="00BC2FB2">
      <w:pPr>
        <w:pStyle w:val="Odsekzoznamu"/>
        <w:ind w:left="360"/>
        <w:contextualSpacing w:val="0"/>
        <w:jc w:val="both"/>
        <w:rPr>
          <w:b/>
          <w:sz w:val="24"/>
          <w:szCs w:val="24"/>
        </w:rPr>
      </w:pPr>
      <w:r w:rsidRPr="00BC2FB2">
        <w:rPr>
          <w:b/>
          <w:sz w:val="24"/>
          <w:szCs w:val="24"/>
        </w:rPr>
        <w:lastRenderedPageBreak/>
        <w:t>P</w:t>
      </w:r>
      <w:r w:rsidRPr="00BC2FB2">
        <w:rPr>
          <w:b/>
          <w:sz w:val="24"/>
          <w:szCs w:val="24"/>
          <w:vertAlign w:val="subscript"/>
        </w:rPr>
        <w:t xml:space="preserve">t </w:t>
      </w:r>
      <w:r w:rsidRPr="00BC2FB2">
        <w:rPr>
          <w:b/>
          <w:sz w:val="24"/>
          <w:szCs w:val="24"/>
        </w:rPr>
        <w:t>= 1,141</w:t>
      </w:r>
    </w:p>
    <w:p w14:paraId="23F23D2F" w14:textId="77777777" w:rsidR="00BC2FB2" w:rsidRP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Koeficient úpravy zakladá pre dodávateľa dodatočné finančné nároky vo výške zhruba 14% na tonu dodaného CHPM. Kedy nárast na tonu je 100*1,141 = 114,1 eur. </w:t>
      </w:r>
    </w:p>
    <w:p w14:paraId="1F2208BF" w14:textId="77777777" w:rsid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  <w:r w:rsidRPr="00BC2FB2">
        <w:rPr>
          <w:sz w:val="24"/>
          <w:szCs w:val="24"/>
        </w:rPr>
        <w:t xml:space="preserve">V mesiaci júl 2022 tak NDS vystaví mimoriadnu kvartálnu faktúru za mesiace apríl až jún 2022. </w:t>
      </w:r>
    </w:p>
    <w:p w14:paraId="77B6449A" w14:textId="77777777" w:rsidR="006568FC" w:rsidRPr="006568FC" w:rsidRDefault="00BC2FB2" w:rsidP="006568FC">
      <w:pPr>
        <w:pStyle w:val="Odsekzoznamu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Keďže dodané množstvo bolo 1000 ton za 100 eur na tonu v riadnych faktúrach sa dodávateľovi vyplatilo 100 000 eur. Mimoriadnou faktúrou sa dodávateľovi doplatí za daný kvartál 14 000 eur. </w:t>
      </w:r>
    </w:p>
    <w:p w14:paraId="1251F322" w14:textId="0F6A7D61" w:rsidR="00646BD3" w:rsidRPr="004F311E" w:rsidRDefault="004F311E" w:rsidP="006568FC">
      <w:pPr>
        <w:pStyle w:val="Odsekzoznamu"/>
        <w:ind w:left="360"/>
        <w:contextualSpacing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Pozn.: </w:t>
      </w:r>
      <w:r w:rsidRPr="004F311E">
        <w:rPr>
          <w:b/>
          <w:i/>
          <w:sz w:val="24"/>
          <w:szCs w:val="24"/>
        </w:rPr>
        <w:t>Uvedené hodnoty sú ilustračné a slúžia na demonštráciu výpočtu. Nejde o reálne hodnoty.</w:t>
      </w:r>
    </w:p>
    <w:p w14:paraId="6CE92063" w14:textId="77777777" w:rsidR="006568FC" w:rsidRDefault="006568FC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468C6948" w14:textId="77777777" w:rsid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13AFB79D" w14:textId="77777777" w:rsidR="00BC2FB2" w:rsidRPr="00BC2FB2" w:rsidRDefault="00BC2FB2" w:rsidP="00BC2FB2">
      <w:pPr>
        <w:pStyle w:val="Odsekzoznamu"/>
        <w:ind w:left="360"/>
        <w:contextualSpacing w:val="0"/>
        <w:jc w:val="both"/>
        <w:rPr>
          <w:sz w:val="24"/>
          <w:szCs w:val="24"/>
        </w:rPr>
      </w:pPr>
    </w:p>
    <w:p w14:paraId="5723CE50" w14:textId="77777777" w:rsidR="00BC2FB2" w:rsidRDefault="00BC2FB2" w:rsidP="00BC2FB2">
      <w:pPr>
        <w:pStyle w:val="Odsekzoznamu"/>
        <w:ind w:left="360"/>
        <w:contextualSpacing w:val="0"/>
        <w:jc w:val="both"/>
        <w:rPr>
          <w:b/>
          <w:sz w:val="36"/>
          <w:szCs w:val="36"/>
        </w:rPr>
      </w:pPr>
    </w:p>
    <w:p w14:paraId="13AEA975" w14:textId="77777777" w:rsidR="00BC2FB2" w:rsidRDefault="00BC2FB2" w:rsidP="00C90742">
      <w:pPr>
        <w:pStyle w:val="Odsekzoznamu"/>
        <w:ind w:left="360"/>
        <w:contextualSpacing w:val="0"/>
        <w:jc w:val="both"/>
        <w:rPr>
          <w:b/>
          <w:sz w:val="36"/>
          <w:szCs w:val="36"/>
        </w:rPr>
      </w:pPr>
    </w:p>
    <w:p w14:paraId="2EA7B18A" w14:textId="77777777" w:rsidR="00752827" w:rsidRDefault="00752827" w:rsidP="00752827">
      <w:pPr>
        <w:rPr>
          <w:b/>
          <w:sz w:val="24"/>
          <w:szCs w:val="24"/>
        </w:rPr>
      </w:pPr>
    </w:p>
    <w:p w14:paraId="7252D246" w14:textId="77777777" w:rsidR="001768C8" w:rsidRDefault="001768C8" w:rsidP="00752827">
      <w:pPr>
        <w:rPr>
          <w:b/>
          <w:sz w:val="24"/>
          <w:szCs w:val="24"/>
        </w:rPr>
      </w:pPr>
    </w:p>
    <w:sectPr w:rsidR="0017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000D" w14:textId="77777777" w:rsidR="009A7ADF" w:rsidRDefault="009A7ADF" w:rsidP="00BC2FB2">
      <w:pPr>
        <w:spacing w:after="0" w:line="240" w:lineRule="auto"/>
      </w:pPr>
      <w:r>
        <w:separator/>
      </w:r>
    </w:p>
  </w:endnote>
  <w:endnote w:type="continuationSeparator" w:id="0">
    <w:p w14:paraId="04DB26B8" w14:textId="77777777" w:rsidR="009A7ADF" w:rsidRDefault="009A7ADF" w:rsidP="00BC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F4808" w14:textId="77777777" w:rsidR="009A7ADF" w:rsidRDefault="009A7ADF" w:rsidP="00BC2FB2">
      <w:pPr>
        <w:spacing w:after="0" w:line="240" w:lineRule="auto"/>
      </w:pPr>
      <w:r>
        <w:separator/>
      </w:r>
    </w:p>
  </w:footnote>
  <w:footnote w:type="continuationSeparator" w:id="0">
    <w:p w14:paraId="038FA3B1" w14:textId="77777777" w:rsidR="009A7ADF" w:rsidRDefault="009A7ADF" w:rsidP="00BC2FB2">
      <w:pPr>
        <w:spacing w:after="0" w:line="240" w:lineRule="auto"/>
      </w:pPr>
      <w:r>
        <w:continuationSeparator/>
      </w:r>
    </w:p>
  </w:footnote>
  <w:footnote w:id="1">
    <w:p w14:paraId="63D590B8" w14:textId="77777777" w:rsidR="00BC2FB2" w:rsidRDefault="00BC2FB2">
      <w:pPr>
        <w:pStyle w:val="Textpoznmkypodiarou"/>
      </w:pPr>
      <w:r>
        <w:rPr>
          <w:rStyle w:val="Odkaznapoznmkupodiarou"/>
        </w:rPr>
        <w:footnoteRef/>
      </w:r>
      <w:r>
        <w:t xml:space="preserve"> Za sledované kvartálne obdobie došlo k nárastom ceny motorovej nafty zhruba o 19% a ceny komodity zhruba o 14%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F4"/>
    <w:multiLevelType w:val="hybridMultilevel"/>
    <w:tmpl w:val="9008052A"/>
    <w:lvl w:ilvl="0" w:tplc="B76AF70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F6B2E"/>
    <w:multiLevelType w:val="hybridMultilevel"/>
    <w:tmpl w:val="5B60098A"/>
    <w:lvl w:ilvl="0" w:tplc="B76AF70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FD62FA"/>
    <w:multiLevelType w:val="hybridMultilevel"/>
    <w:tmpl w:val="0AD85AB4"/>
    <w:lvl w:ilvl="0" w:tplc="B2DC528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59"/>
    <w:rsid w:val="00140F21"/>
    <w:rsid w:val="00164CA9"/>
    <w:rsid w:val="001768C8"/>
    <w:rsid w:val="002D68A9"/>
    <w:rsid w:val="002F7615"/>
    <w:rsid w:val="00303950"/>
    <w:rsid w:val="00436EA4"/>
    <w:rsid w:val="00452E60"/>
    <w:rsid w:val="004704C3"/>
    <w:rsid w:val="004F311E"/>
    <w:rsid w:val="005B4402"/>
    <w:rsid w:val="0061544D"/>
    <w:rsid w:val="00646BD3"/>
    <w:rsid w:val="006568FC"/>
    <w:rsid w:val="00714787"/>
    <w:rsid w:val="00716E5D"/>
    <w:rsid w:val="00752827"/>
    <w:rsid w:val="007F4294"/>
    <w:rsid w:val="0087584E"/>
    <w:rsid w:val="008B5EFE"/>
    <w:rsid w:val="009249F1"/>
    <w:rsid w:val="009A7ADF"/>
    <w:rsid w:val="009E0E59"/>
    <w:rsid w:val="00A04182"/>
    <w:rsid w:val="00A27F6C"/>
    <w:rsid w:val="00A3065B"/>
    <w:rsid w:val="00AF0F8D"/>
    <w:rsid w:val="00B40A7C"/>
    <w:rsid w:val="00BA0831"/>
    <w:rsid w:val="00BC2FB2"/>
    <w:rsid w:val="00C02698"/>
    <w:rsid w:val="00C90742"/>
    <w:rsid w:val="00D0485E"/>
    <w:rsid w:val="00D30A0B"/>
    <w:rsid w:val="00D33FD5"/>
    <w:rsid w:val="00F05E65"/>
    <w:rsid w:val="00F51050"/>
    <w:rsid w:val="00F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AB2"/>
  <w15:chartTrackingRefBased/>
  <w15:docId w15:val="{B3EE9EF1-02E1-44D1-B145-A6AC623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8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F0F8D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2F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2F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C2FB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61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F76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76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76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76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7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tistic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2DCD-26DB-4B2C-9E85-943CC7BB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Machút Boris</dc:creator>
  <cp:keywords/>
  <dc:description/>
  <cp:lastModifiedBy>Ľuboslav Filipovič</cp:lastModifiedBy>
  <cp:revision>3</cp:revision>
  <cp:lastPrinted>2022-06-23T08:00:00Z</cp:lastPrinted>
  <dcterms:created xsi:type="dcterms:W3CDTF">2022-06-24T14:01:00Z</dcterms:created>
  <dcterms:modified xsi:type="dcterms:W3CDTF">2022-07-06T08:47:00Z</dcterms:modified>
</cp:coreProperties>
</file>