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BD9" w:rsidRPr="005759EF" w:rsidRDefault="001E7BD9" w:rsidP="001E7BD9">
      <w:pPr>
        <w:pStyle w:val="Nadpis3"/>
        <w:jc w:val="center"/>
        <w:rPr>
          <w:rFonts w:ascii="Times New Roman" w:hAnsi="Times New Roman" w:cs="Times New Roman"/>
          <w:b/>
          <w:color w:val="000000" w:themeColor="text1"/>
          <w:lang w:val="sk-SK"/>
        </w:rPr>
      </w:pPr>
      <w:r w:rsidRPr="005759EF">
        <w:rPr>
          <w:rFonts w:ascii="Times New Roman" w:eastAsia="Times New Roman" w:hAnsi="Times New Roman" w:cs="Times New Roman"/>
          <w:b/>
          <w:color w:val="000000" w:themeColor="text1"/>
          <w:lang w:bidi="en-US"/>
        </w:rPr>
        <w:t>Preparatory Market Consultations according to Sect. 25 Act 343/2015 Coll. on Public Procurement and on change and amendments to certain laws, as amended.</w:t>
      </w:r>
    </w:p>
    <w:p w:rsidR="001E7BD9" w:rsidRPr="005759EF" w:rsidRDefault="001E7BD9" w:rsidP="0063003B">
      <w:pPr>
        <w:rPr>
          <w:color w:val="000000" w:themeColor="text1"/>
          <w:lang w:val="sk-SK"/>
        </w:rPr>
      </w:pPr>
    </w:p>
    <w:p w:rsidR="008025E5" w:rsidRPr="005759EF" w:rsidRDefault="008B581A" w:rsidP="0063003B">
      <w:pPr>
        <w:pStyle w:val="Nadpis3"/>
        <w:jc w:val="center"/>
        <w:rPr>
          <w:rFonts w:ascii="Times New Roman" w:hAnsi="Times New Roman" w:cs="Times New Roman"/>
          <w:color w:val="000000" w:themeColor="text1"/>
          <w:lang w:val="sk-SK"/>
        </w:rPr>
      </w:pPr>
      <w:r>
        <w:rPr>
          <w:rFonts w:ascii="Times New Roman" w:eastAsia="Times New Roman" w:hAnsi="Times New Roman" w:cs="Times New Roman"/>
          <w:color w:val="000000" w:themeColor="text1"/>
          <w:lang w:bidi="en-US"/>
        </w:rPr>
        <w:t>Chemical Spreading Material Supply</w:t>
      </w:r>
    </w:p>
    <w:p w:rsidR="001E7BD9" w:rsidRPr="005759EF" w:rsidRDefault="001E7BD9" w:rsidP="006459E1">
      <w:pPr>
        <w:pStyle w:val="Nadpis3"/>
        <w:rPr>
          <w:rFonts w:ascii="Times New Roman" w:hAnsi="Times New Roman" w:cs="Times New Roman"/>
          <w:b/>
          <w:color w:val="000000" w:themeColor="text1"/>
          <w:lang w:val="sk-SK"/>
        </w:rPr>
      </w:pPr>
    </w:p>
    <w:p w:rsidR="008025E5" w:rsidRPr="005759EF" w:rsidRDefault="006459E1" w:rsidP="006459E1">
      <w:pPr>
        <w:pStyle w:val="Nadpis3"/>
        <w:rPr>
          <w:rFonts w:ascii="Times New Roman" w:hAnsi="Times New Roman" w:cs="Times New Roman"/>
          <w:b/>
          <w:color w:val="000000" w:themeColor="text1"/>
          <w:lang w:val="sk-SK"/>
        </w:rPr>
      </w:pPr>
      <w:r w:rsidRPr="005759EF">
        <w:rPr>
          <w:rFonts w:ascii="Times New Roman" w:eastAsia="Times New Roman" w:hAnsi="Times New Roman" w:cs="Times New Roman"/>
          <w:b/>
          <w:color w:val="000000" w:themeColor="text1"/>
          <w:lang w:bidi="en-US"/>
        </w:rPr>
        <w:t>Questionnaire for Preparatory Market Consultations</w:t>
      </w:r>
    </w:p>
    <w:p w:rsidR="00823680" w:rsidRDefault="00823680">
      <w:pPr>
        <w:rPr>
          <w:rFonts w:ascii="Times New Roman" w:hAnsi="Times New Roman" w:cs="Times New Roman"/>
          <w:lang w:val="sk-SK"/>
        </w:rPr>
      </w:pPr>
    </w:p>
    <w:p w:rsidR="00DC6E4C" w:rsidRDefault="00F85B61" w:rsidP="00DC6E4C">
      <w:pPr>
        <w:rPr>
          <w:rFonts w:ascii="Times New Roman" w:hAnsi="Times New Roman" w:cs="Times New Roman"/>
          <w:lang w:val="sk-SK"/>
        </w:rPr>
      </w:pPr>
      <w:r w:rsidRPr="00F85B61">
        <w:rPr>
          <w:rFonts w:ascii="Times New Roman" w:eastAsia="Times New Roman" w:hAnsi="Times New Roman" w:cs="Times New Roman"/>
          <w:lang w:bidi="en-US"/>
        </w:rPr>
        <w:t>Potential supplier:</w:t>
      </w:r>
      <w:r w:rsidRPr="00F85B61">
        <w:rPr>
          <w:rFonts w:ascii="Times New Roman" w:eastAsia="Times New Roman" w:hAnsi="Times New Roman" w:cs="Times New Roman"/>
          <w:lang w:bidi="en-US"/>
        </w:rPr>
        <w:tab/>
        <w:t>.........................................................................................</w:t>
      </w:r>
    </w:p>
    <w:p w:rsidR="00DC6E4C" w:rsidRDefault="00952301" w:rsidP="00DC6E4C">
      <w:pPr>
        <w:rPr>
          <w:rFonts w:ascii="Times New Roman" w:hAnsi="Times New Roman" w:cs="Times New Roman"/>
          <w:lang w:val="sk-SK"/>
        </w:rPr>
      </w:pPr>
      <w:r>
        <w:rPr>
          <w:rFonts w:ascii="Times New Roman" w:eastAsia="Times New Roman" w:hAnsi="Times New Roman" w:cs="Times New Roman"/>
          <w:lang w:bidi="en-US"/>
        </w:rPr>
        <w:t>Registered office:</w:t>
      </w:r>
      <w:r>
        <w:rPr>
          <w:rFonts w:ascii="Times New Roman" w:eastAsia="Times New Roman" w:hAnsi="Times New Roman" w:cs="Times New Roman"/>
          <w:lang w:bidi="en-US"/>
        </w:rPr>
        <w:tab/>
      </w:r>
      <w:r w:rsidR="00DC6E4C">
        <w:rPr>
          <w:rFonts w:ascii="Times New Roman" w:eastAsia="Times New Roman" w:hAnsi="Times New Roman" w:cs="Times New Roman"/>
          <w:lang w:bidi="en-US"/>
        </w:rPr>
        <w:t>.........................................................................................</w:t>
      </w:r>
    </w:p>
    <w:p w:rsidR="00DC6E4C" w:rsidRDefault="00DC6E4C">
      <w:pPr>
        <w:rPr>
          <w:rFonts w:ascii="Times New Roman" w:hAnsi="Times New Roman" w:cs="Times New Roman"/>
          <w:lang w:val="sk-SK"/>
        </w:rPr>
      </w:pPr>
      <w:r>
        <w:rPr>
          <w:rFonts w:ascii="Times New Roman" w:eastAsia="Times New Roman" w:hAnsi="Times New Roman" w:cs="Times New Roman"/>
          <w:lang w:bidi="en-US"/>
        </w:rPr>
        <w:t>Contact person, e-mail, telephone:</w:t>
      </w:r>
      <w:r>
        <w:rPr>
          <w:rFonts w:ascii="Times New Roman" w:eastAsia="Times New Roman" w:hAnsi="Times New Roman" w:cs="Times New Roman"/>
          <w:lang w:bidi="en-US"/>
        </w:rPr>
        <w:tab/>
        <w:t>...................................................</w:t>
      </w:r>
    </w:p>
    <w:p w:rsidR="003C3C58" w:rsidRDefault="003C3C58">
      <w:pPr>
        <w:rPr>
          <w:rFonts w:ascii="Times New Roman" w:hAnsi="Times New Roman" w:cs="Times New Roman"/>
          <w:lang w:val="sk-SK"/>
        </w:rPr>
      </w:pPr>
    </w:p>
    <w:p w:rsidR="00823680" w:rsidRDefault="001E7BD9">
      <w:pPr>
        <w:rPr>
          <w:rFonts w:ascii="Times New Roman" w:hAnsi="Times New Roman" w:cs="Times New Roman"/>
          <w:b/>
          <w:lang w:val="sk-SK"/>
        </w:rPr>
      </w:pPr>
      <w:r>
        <w:rPr>
          <w:rFonts w:ascii="Times New Roman" w:eastAsia="Times New Roman" w:hAnsi="Times New Roman" w:cs="Times New Roman"/>
          <w:b/>
          <w:lang w:bidi="en-US"/>
        </w:rPr>
        <w:t>Objective of Preparatory Market Consultations</w:t>
      </w:r>
    </w:p>
    <w:p w:rsidR="00622462" w:rsidRDefault="001E7BD9" w:rsidP="00AD11C6">
      <w:pPr>
        <w:jc w:val="both"/>
        <w:rPr>
          <w:rFonts w:ascii="Times New Roman" w:hAnsi="Times New Roman" w:cs="Times New Roman"/>
          <w:lang w:val="sk-SK"/>
        </w:rPr>
      </w:pPr>
      <w:r w:rsidRPr="0063003B">
        <w:rPr>
          <w:rFonts w:ascii="Times New Roman" w:eastAsia="Times New Roman" w:hAnsi="Times New Roman" w:cs="Times New Roman"/>
          <w:lang w:bidi="en-US"/>
        </w:rPr>
        <w:t>Národná diaľničná spoločnost, a.s., Dúbravská cesta 14, 841 04 Bratislava, Slovak Republic (hereinafter referred to as the "Contracting Authority") intends to carry out public procurement, the outcome of which is to be a contract for chemical spreading material supply.</w:t>
      </w:r>
    </w:p>
    <w:p w:rsidR="001E7BD9" w:rsidRDefault="000D6624" w:rsidP="00AD11C6">
      <w:pPr>
        <w:jc w:val="both"/>
        <w:rPr>
          <w:rFonts w:ascii="Times New Roman" w:hAnsi="Times New Roman" w:cs="Times New Roman"/>
          <w:i/>
          <w:lang w:val="sk-SK"/>
        </w:rPr>
      </w:pPr>
      <w:r w:rsidRPr="00823680">
        <w:rPr>
          <w:rFonts w:ascii="Times New Roman" w:eastAsia="Times New Roman" w:hAnsi="Times New Roman" w:cs="Times New Roman"/>
          <w:i/>
          <w:lang w:bidi="en-US"/>
        </w:rPr>
        <w:t>The objective of the preparatory market consultations is as follows:</w:t>
      </w:r>
    </w:p>
    <w:p w:rsidR="001E7BD9" w:rsidRPr="00C70E6B" w:rsidRDefault="0031004D" w:rsidP="00AD11C6">
      <w:pPr>
        <w:jc w:val="both"/>
        <w:rPr>
          <w:rFonts w:ascii="Times New Roman" w:hAnsi="Times New Roman" w:cs="Times New Roman"/>
          <w:i/>
          <w:lang w:val="sk-SK"/>
        </w:rPr>
      </w:pPr>
      <w:r>
        <w:rPr>
          <w:rFonts w:ascii="Times New Roman" w:eastAsia="Times New Roman" w:hAnsi="Times New Roman" w:cs="Times New Roman"/>
          <w:i/>
          <w:lang w:bidi="en-US"/>
        </w:rPr>
        <w:t xml:space="preserve">(i) a request for advice from market participants (hereinafter referred to as the "supplier"), which could be used for planning or implementation of the public procurement procedure for chemical spreading material supply (hereinafter referred to as the "Objective"). </w:t>
      </w:r>
    </w:p>
    <w:p w:rsidR="000D6624" w:rsidRPr="00823680" w:rsidRDefault="001E7BD9" w:rsidP="00AD11C6">
      <w:pPr>
        <w:jc w:val="both"/>
        <w:rPr>
          <w:rFonts w:ascii="Times New Roman" w:hAnsi="Times New Roman" w:cs="Times New Roman"/>
          <w:i/>
          <w:lang w:val="sk-SK"/>
        </w:rPr>
      </w:pPr>
      <w:r w:rsidRPr="00C70E6B">
        <w:rPr>
          <w:rFonts w:ascii="Times New Roman" w:eastAsia="Times New Roman" w:hAnsi="Times New Roman" w:cs="Times New Roman"/>
          <w:i/>
          <w:lang w:bidi="en-US"/>
        </w:rPr>
        <w:t>As part of the above-mentioned Objective of the preparatory market consultations, the Contracting Authority needs to obtain advice/expert opinion from suppliers on the specification, scope, properties and conditions of the chemical spreading material supply as a basis for setting requirements for the subject-matter of the relevant public procurement contract.</w:t>
      </w:r>
    </w:p>
    <w:p w:rsidR="006459E1" w:rsidRDefault="001E7BD9" w:rsidP="00AD11C6">
      <w:pPr>
        <w:jc w:val="both"/>
        <w:rPr>
          <w:rFonts w:ascii="Times New Roman" w:hAnsi="Times New Roman" w:cs="Times New Roman"/>
          <w:i/>
          <w:lang w:val="sk-SK"/>
        </w:rPr>
      </w:pPr>
      <w:r>
        <w:rPr>
          <w:rFonts w:ascii="Times New Roman" w:eastAsia="Times New Roman" w:hAnsi="Times New Roman" w:cs="Times New Roman"/>
          <w:i/>
          <w:lang w:bidi="en-US"/>
        </w:rPr>
        <w:t>The Contracting Authority reserves the right to ask additional questions and/or invite a certain supplier to clarify certain answers by teleconference discussion. However, the Contracting Authority will always proceed so as not to distort economic competition and not to violate the principle of non-discrimination and the principle of transparency.</w:t>
      </w:r>
    </w:p>
    <w:p w:rsidR="004106A4" w:rsidRDefault="004106A4" w:rsidP="00AD11C6">
      <w:pPr>
        <w:jc w:val="both"/>
        <w:rPr>
          <w:rFonts w:ascii="Times New Roman" w:hAnsi="Times New Roman" w:cs="Times New Roman"/>
          <w:i/>
          <w:lang w:val="sk-SK"/>
        </w:rPr>
      </w:pPr>
      <w:r>
        <w:rPr>
          <w:rFonts w:ascii="Times New Roman" w:eastAsia="Times New Roman" w:hAnsi="Times New Roman" w:cs="Times New Roman"/>
          <w:i/>
          <w:lang w:bidi="en-US"/>
        </w:rPr>
        <w:t xml:space="preserve">Holding the preparatory market consultations does not oblige the Contracting Authority to carry out the public procurement for chemical spreading material supply. </w:t>
      </w:r>
    </w:p>
    <w:p w:rsidR="00107C7A" w:rsidRDefault="00107C7A" w:rsidP="00823680">
      <w:pPr>
        <w:rPr>
          <w:rFonts w:ascii="Times New Roman" w:hAnsi="Times New Roman" w:cs="Times New Roman"/>
          <w:b/>
          <w:lang w:val="sk-SK"/>
        </w:rPr>
      </w:pPr>
    </w:p>
    <w:p w:rsidR="00823680" w:rsidRPr="00823680" w:rsidRDefault="00823680" w:rsidP="00952301">
      <w:pPr>
        <w:tabs>
          <w:tab w:val="left" w:pos="3660"/>
        </w:tabs>
        <w:rPr>
          <w:rFonts w:ascii="Times New Roman" w:hAnsi="Times New Roman" w:cs="Times New Roman"/>
          <w:b/>
          <w:lang w:val="sk-SK"/>
        </w:rPr>
      </w:pPr>
      <w:r w:rsidRPr="00823680">
        <w:rPr>
          <w:rFonts w:ascii="Times New Roman" w:eastAsia="Times New Roman" w:hAnsi="Times New Roman" w:cs="Times New Roman"/>
          <w:b/>
          <w:lang w:bidi="en-US"/>
        </w:rPr>
        <w:t>Questions and answers</w:t>
      </w:r>
      <w:r w:rsidR="00952301">
        <w:rPr>
          <w:rFonts w:ascii="Times New Roman" w:eastAsia="Times New Roman" w:hAnsi="Times New Roman" w:cs="Times New Roman"/>
          <w:b/>
          <w:lang w:bidi="en-US"/>
        </w:rPr>
        <w:tab/>
      </w:r>
    </w:p>
    <w:tbl>
      <w:tblPr>
        <w:tblStyle w:val="Mriekatabuky"/>
        <w:tblW w:w="10348" w:type="dxa"/>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503"/>
        <w:gridCol w:w="3750"/>
        <w:gridCol w:w="6095"/>
      </w:tblGrid>
      <w:tr w:rsidR="002E5291" w:rsidRPr="00C65BAE" w:rsidTr="00107C7A">
        <w:tc>
          <w:tcPr>
            <w:tcW w:w="503" w:type="dxa"/>
          </w:tcPr>
          <w:p w:rsidR="002E5291" w:rsidRPr="00C65BAE" w:rsidRDefault="002E5291" w:rsidP="00107C7A">
            <w:pPr>
              <w:pStyle w:val="Odsekzoznamu"/>
              <w:numPr>
                <w:ilvl w:val="0"/>
                <w:numId w:val="3"/>
              </w:numPr>
              <w:spacing w:before="60" w:after="60"/>
              <w:contextualSpacing w:val="0"/>
              <w:rPr>
                <w:rFonts w:ascii="Times New Roman" w:hAnsi="Times New Roman" w:cs="Times New Roman"/>
                <w:lang w:val="sk-SK"/>
              </w:rPr>
            </w:pPr>
          </w:p>
        </w:tc>
        <w:tc>
          <w:tcPr>
            <w:tcW w:w="3750" w:type="dxa"/>
          </w:tcPr>
          <w:p w:rsidR="002E5291" w:rsidRDefault="00A75935" w:rsidP="0031004D">
            <w:pPr>
              <w:spacing w:before="60" w:after="60"/>
              <w:rPr>
                <w:rFonts w:ascii="Times New Roman" w:hAnsi="Times New Roman" w:cs="Times New Roman"/>
                <w:lang w:val="sk-SK"/>
              </w:rPr>
            </w:pPr>
            <w:r>
              <w:rPr>
                <w:rFonts w:ascii="Times New Roman" w:eastAsia="Times New Roman" w:hAnsi="Times New Roman" w:cs="Times New Roman"/>
                <w:lang w:bidi="en-US"/>
              </w:rPr>
              <w:t>Does the proposed formula, or parts thereof, take into account your potential costs relevant to you as a potential tenderer in the public procurement? (see Annex 1)</w:t>
            </w:r>
          </w:p>
        </w:tc>
        <w:tc>
          <w:tcPr>
            <w:tcW w:w="6095" w:type="dxa"/>
          </w:tcPr>
          <w:p w:rsidR="00F302DB" w:rsidRDefault="0031004D" w:rsidP="00A75935">
            <w:pPr>
              <w:pStyle w:val="Odsekzoznamu"/>
              <w:numPr>
                <w:ilvl w:val="0"/>
                <w:numId w:val="7"/>
              </w:numPr>
              <w:spacing w:before="60" w:after="60"/>
              <w:ind w:left="461"/>
              <w:contextualSpacing w:val="0"/>
              <w:rPr>
                <w:rFonts w:ascii="Times New Roman" w:hAnsi="Times New Roman" w:cs="Times New Roman"/>
                <w:lang w:val="sk-SK"/>
              </w:rPr>
            </w:pPr>
            <w:r>
              <w:rPr>
                <w:rFonts w:ascii="Times New Roman" w:eastAsia="Times New Roman" w:hAnsi="Times New Roman" w:cs="Times New Roman"/>
                <w:lang w:bidi="en-US"/>
              </w:rPr>
              <w:t>Yes</w:t>
            </w:r>
          </w:p>
          <w:p w:rsidR="00A75935" w:rsidRDefault="00A75935" w:rsidP="00A75935">
            <w:pPr>
              <w:pStyle w:val="Odsekzoznamu"/>
              <w:numPr>
                <w:ilvl w:val="0"/>
                <w:numId w:val="7"/>
              </w:numPr>
              <w:spacing w:before="60" w:after="60"/>
              <w:ind w:left="461"/>
              <w:contextualSpacing w:val="0"/>
              <w:rPr>
                <w:rFonts w:ascii="Times New Roman" w:hAnsi="Times New Roman" w:cs="Times New Roman"/>
                <w:lang w:val="sk-SK"/>
              </w:rPr>
            </w:pPr>
            <w:r>
              <w:rPr>
                <w:rFonts w:ascii="Times New Roman" w:eastAsia="Times New Roman" w:hAnsi="Times New Roman" w:cs="Times New Roman"/>
                <w:lang w:bidi="en-US"/>
              </w:rPr>
              <w:t>No</w:t>
            </w:r>
          </w:p>
          <w:p w:rsidR="002E5291" w:rsidRPr="00A75935" w:rsidRDefault="002E5291" w:rsidP="00A75935">
            <w:pPr>
              <w:spacing w:before="60" w:after="60"/>
              <w:ind w:left="101"/>
              <w:rPr>
                <w:rFonts w:ascii="Times New Roman" w:hAnsi="Times New Roman" w:cs="Times New Roman"/>
                <w:lang w:val="sk-SK"/>
              </w:rPr>
            </w:pPr>
          </w:p>
        </w:tc>
      </w:tr>
      <w:tr w:rsidR="00107C7A" w:rsidRPr="00C65BAE" w:rsidTr="00107C7A">
        <w:tc>
          <w:tcPr>
            <w:tcW w:w="503" w:type="dxa"/>
          </w:tcPr>
          <w:p w:rsidR="00107C7A" w:rsidRPr="00C65BAE" w:rsidRDefault="00107C7A" w:rsidP="00107C7A">
            <w:pPr>
              <w:pStyle w:val="Odsekzoznamu"/>
              <w:numPr>
                <w:ilvl w:val="0"/>
                <w:numId w:val="3"/>
              </w:numPr>
              <w:spacing w:before="60" w:after="60"/>
              <w:contextualSpacing w:val="0"/>
              <w:rPr>
                <w:rFonts w:ascii="Times New Roman" w:hAnsi="Times New Roman" w:cs="Times New Roman"/>
                <w:lang w:val="sk-SK"/>
              </w:rPr>
            </w:pPr>
          </w:p>
        </w:tc>
        <w:tc>
          <w:tcPr>
            <w:tcW w:w="3750" w:type="dxa"/>
          </w:tcPr>
          <w:p w:rsidR="00107C7A" w:rsidRPr="00C65BAE" w:rsidRDefault="00F302DB" w:rsidP="00A75935">
            <w:pPr>
              <w:spacing w:before="60" w:after="60"/>
              <w:ind w:right="-110"/>
              <w:rPr>
                <w:rFonts w:ascii="Times New Roman" w:hAnsi="Times New Roman" w:cs="Times New Roman"/>
                <w:lang w:val="sk-SK" w:eastAsia="ja-JP"/>
              </w:rPr>
            </w:pPr>
            <w:r>
              <w:rPr>
                <w:rFonts w:ascii="Times New Roman" w:eastAsia="Times New Roman" w:hAnsi="Times New Roman" w:cs="Times New Roman"/>
                <w:lang w:bidi="en-US"/>
              </w:rPr>
              <w:t>If the indexation formula were modified by you, would you prefer the weight of transport costs?</w:t>
            </w:r>
          </w:p>
        </w:tc>
        <w:tc>
          <w:tcPr>
            <w:tcW w:w="6095" w:type="dxa"/>
          </w:tcPr>
          <w:p w:rsidR="00107C7A" w:rsidRPr="00C65BAE" w:rsidRDefault="00A75935" w:rsidP="00107C7A">
            <w:pPr>
              <w:pStyle w:val="Odsekzoznamu"/>
              <w:numPr>
                <w:ilvl w:val="0"/>
                <w:numId w:val="4"/>
              </w:numPr>
              <w:spacing w:before="60" w:after="60"/>
              <w:ind w:left="357" w:hanging="357"/>
              <w:contextualSpacing w:val="0"/>
              <w:rPr>
                <w:rFonts w:ascii="Times New Roman" w:hAnsi="Times New Roman" w:cs="Times New Roman"/>
                <w:lang w:val="sk-SK"/>
              </w:rPr>
            </w:pPr>
            <w:r>
              <w:rPr>
                <w:rFonts w:ascii="Times New Roman" w:eastAsia="Times New Roman" w:hAnsi="Times New Roman" w:cs="Times New Roman"/>
                <w:lang w:bidi="en-US"/>
              </w:rPr>
              <w:t>More than 20%</w:t>
            </w:r>
          </w:p>
          <w:p w:rsidR="005E08C0" w:rsidRDefault="00A75935" w:rsidP="00E43E60">
            <w:pPr>
              <w:pStyle w:val="Odsekzoznamu"/>
              <w:numPr>
                <w:ilvl w:val="0"/>
                <w:numId w:val="4"/>
              </w:numPr>
              <w:spacing w:before="60" w:after="60"/>
              <w:ind w:left="357" w:hanging="357"/>
              <w:contextualSpacing w:val="0"/>
              <w:rPr>
                <w:rFonts w:ascii="Times New Roman" w:hAnsi="Times New Roman" w:cs="Times New Roman"/>
                <w:lang w:val="sk-SK"/>
              </w:rPr>
            </w:pPr>
            <w:r>
              <w:rPr>
                <w:rFonts w:ascii="Times New Roman" w:eastAsia="Times New Roman" w:hAnsi="Times New Roman" w:cs="Times New Roman"/>
                <w:lang w:bidi="en-US"/>
              </w:rPr>
              <w:t xml:space="preserve">More than 30% </w:t>
            </w:r>
          </w:p>
          <w:p w:rsidR="00F302DB" w:rsidRPr="00E43E60" w:rsidRDefault="00F302DB" w:rsidP="00A75935">
            <w:pPr>
              <w:pStyle w:val="Odsekzoznamu"/>
              <w:spacing w:before="60" w:after="60"/>
              <w:ind w:left="357"/>
              <w:contextualSpacing w:val="0"/>
              <w:rPr>
                <w:rFonts w:ascii="Times New Roman" w:hAnsi="Times New Roman" w:cs="Times New Roman"/>
                <w:lang w:val="sk-SK"/>
              </w:rPr>
            </w:pPr>
          </w:p>
          <w:p w:rsidR="005E08C0" w:rsidRPr="00C65BAE" w:rsidRDefault="005E08C0" w:rsidP="00E43E60">
            <w:pPr>
              <w:pStyle w:val="Odsekzoznamu"/>
              <w:spacing w:before="60" w:after="60"/>
              <w:ind w:left="357"/>
              <w:contextualSpacing w:val="0"/>
              <w:rPr>
                <w:rFonts w:ascii="Times New Roman" w:hAnsi="Times New Roman" w:cs="Times New Roman"/>
                <w:lang w:val="sk-SK"/>
              </w:rPr>
            </w:pPr>
          </w:p>
        </w:tc>
      </w:tr>
      <w:tr w:rsidR="005E08C0" w:rsidRPr="00C65BAE" w:rsidTr="00107C7A">
        <w:tc>
          <w:tcPr>
            <w:tcW w:w="503" w:type="dxa"/>
          </w:tcPr>
          <w:p w:rsidR="005E08C0" w:rsidRPr="00C65BAE" w:rsidRDefault="005E08C0" w:rsidP="00107C7A">
            <w:pPr>
              <w:pStyle w:val="Odsekzoznamu"/>
              <w:numPr>
                <w:ilvl w:val="0"/>
                <w:numId w:val="3"/>
              </w:numPr>
              <w:spacing w:before="60" w:after="60"/>
              <w:contextualSpacing w:val="0"/>
              <w:rPr>
                <w:rFonts w:ascii="Times New Roman" w:hAnsi="Times New Roman" w:cs="Times New Roman"/>
                <w:lang w:val="sk-SK"/>
              </w:rPr>
            </w:pPr>
          </w:p>
        </w:tc>
        <w:tc>
          <w:tcPr>
            <w:tcW w:w="3750" w:type="dxa"/>
          </w:tcPr>
          <w:p w:rsidR="005E08C0" w:rsidRPr="00F302DB" w:rsidRDefault="002C355D" w:rsidP="00C20195">
            <w:pPr>
              <w:spacing w:before="60" w:after="60"/>
              <w:rPr>
                <w:rFonts w:ascii="Times New Roman" w:hAnsi="Times New Roman" w:cs="Times New Roman"/>
                <w:lang w:val="sk-SK"/>
              </w:rPr>
            </w:pPr>
            <w:r>
              <w:rPr>
                <w:rFonts w:ascii="Times New Roman" w:eastAsia="Times New Roman" w:hAnsi="Times New Roman" w:cs="Times New Roman"/>
                <w:lang w:bidi="en-US"/>
              </w:rPr>
              <w:t>Which time point for the application of extraordinary invoicing is relevant for you? (see Annex 1, Section 5)</w:t>
            </w:r>
          </w:p>
        </w:tc>
        <w:tc>
          <w:tcPr>
            <w:tcW w:w="6095" w:type="dxa"/>
          </w:tcPr>
          <w:p w:rsidR="00E43E60" w:rsidRPr="00461F04" w:rsidRDefault="002C355D" w:rsidP="00461F04">
            <w:pPr>
              <w:pStyle w:val="Odsekzoznamu"/>
              <w:numPr>
                <w:ilvl w:val="0"/>
                <w:numId w:val="4"/>
              </w:numPr>
              <w:spacing w:before="60" w:after="60"/>
              <w:ind w:left="357" w:hanging="357"/>
              <w:contextualSpacing w:val="0"/>
              <w:rPr>
                <w:rFonts w:ascii="Times New Roman" w:hAnsi="Times New Roman" w:cs="Times New Roman"/>
                <w:lang w:val="sk-SK"/>
              </w:rPr>
            </w:pPr>
            <w:r>
              <w:rPr>
                <w:rFonts w:ascii="Times New Roman" w:eastAsia="Times New Roman" w:hAnsi="Times New Roman" w:cs="Times New Roman"/>
                <w:lang w:bidi="en-US"/>
              </w:rPr>
              <w:t>Quarter</w:t>
            </w:r>
          </w:p>
          <w:p w:rsidR="002C355D" w:rsidRPr="00C65BAE" w:rsidRDefault="002C355D" w:rsidP="004125FD">
            <w:pPr>
              <w:pStyle w:val="Odsekzoznamu"/>
              <w:numPr>
                <w:ilvl w:val="0"/>
                <w:numId w:val="4"/>
              </w:numPr>
              <w:spacing w:before="60" w:after="60"/>
              <w:ind w:left="357" w:hanging="357"/>
              <w:contextualSpacing w:val="0"/>
              <w:rPr>
                <w:rFonts w:ascii="Times New Roman" w:hAnsi="Times New Roman" w:cs="Times New Roman"/>
                <w:lang w:val="sk-SK"/>
              </w:rPr>
            </w:pPr>
            <w:r>
              <w:rPr>
                <w:rFonts w:ascii="Times New Roman" w:eastAsia="Times New Roman" w:hAnsi="Times New Roman" w:cs="Times New Roman"/>
                <w:lang w:bidi="en-US"/>
              </w:rPr>
              <w:t>Half a year</w:t>
            </w:r>
          </w:p>
        </w:tc>
      </w:tr>
    </w:tbl>
    <w:p w:rsidR="00DC6E4C" w:rsidRDefault="00DC6E4C">
      <w:pPr>
        <w:rPr>
          <w:rFonts w:ascii="Times New Roman" w:hAnsi="Times New Roman" w:cs="Times New Roman"/>
          <w:lang w:val="sk-SK"/>
        </w:rPr>
      </w:pPr>
    </w:p>
    <w:p w:rsidR="009419EE" w:rsidRDefault="009419EE">
      <w:pPr>
        <w:rPr>
          <w:rFonts w:ascii="Times New Roman" w:hAnsi="Times New Roman" w:cs="Times New Roman"/>
          <w:lang w:val="sk-SK"/>
        </w:rPr>
      </w:pPr>
    </w:p>
    <w:p w:rsidR="00BC495F" w:rsidRPr="00BC495F" w:rsidRDefault="00BC495F" w:rsidP="00BC495F">
      <w:pPr>
        <w:jc w:val="both"/>
        <w:rPr>
          <w:rFonts w:ascii="Times New Roman" w:hAnsi="Times New Roman" w:cs="Times New Roman"/>
          <w:iCs/>
          <w:lang w:val="sk-SK"/>
        </w:rPr>
      </w:pPr>
      <w:r w:rsidRPr="00BC495F">
        <w:rPr>
          <w:rFonts w:ascii="Times New Roman" w:eastAsia="Times New Roman" w:hAnsi="Times New Roman" w:cs="Times New Roman"/>
          <w:lang w:bidi="en-US"/>
        </w:rPr>
        <w:t xml:space="preserve">Please send the completed questionnaire </w:t>
      </w:r>
      <w:r w:rsidRPr="00BC495F">
        <w:rPr>
          <w:rFonts w:ascii="Times New Roman" w:eastAsia="Times New Roman" w:hAnsi="Times New Roman" w:cs="Times New Roman"/>
          <w:b/>
          <w:lang w:bidi="en-US"/>
        </w:rPr>
        <w:t>in electronic form only through the JOSEPHINE system</w:t>
      </w:r>
      <w:r w:rsidRPr="00BC495F">
        <w:rPr>
          <w:rFonts w:ascii="Times New Roman" w:eastAsia="Times New Roman" w:hAnsi="Times New Roman" w:cs="Times New Roman"/>
          <w:lang w:bidi="en-US"/>
        </w:rPr>
        <w:t xml:space="preserve">: </w:t>
      </w:r>
      <w:hyperlink r:id="rId11" w:history="1">
        <w:r w:rsidR="002A6D9E" w:rsidRPr="002A6D9E">
          <w:rPr>
            <w:rStyle w:val="Hypertextovprepojenie"/>
            <w:rFonts w:ascii="Times New Roman" w:hAnsi="Times New Roman" w:cs="Times New Roman"/>
          </w:rPr>
          <w:t>https://josephine.proebiz.com/sk/tender/28151/summary</w:t>
        </w:r>
      </w:hyperlink>
      <w:r w:rsidR="002A6D9E" w:rsidRPr="002A6D9E">
        <w:rPr>
          <w:rStyle w:val="Hypertextovprepojenie"/>
          <w:rFonts w:ascii="Times New Roman" w:hAnsi="Times New Roman" w:cs="Times New Roman"/>
        </w:rPr>
        <w:t xml:space="preserve"> </w:t>
      </w:r>
      <w:bookmarkStart w:id="0" w:name="_GoBack"/>
      <w:bookmarkEnd w:id="0"/>
      <w:r w:rsidRPr="001E3D7E">
        <w:rPr>
          <w:rFonts w:ascii="Times New Roman" w:eastAsia="Times New Roman" w:hAnsi="Times New Roman" w:cs="Times New Roman"/>
          <w:b/>
          <w:lang w:bidi="en-US"/>
        </w:rPr>
        <w:t>by</w:t>
      </w:r>
      <w:r w:rsidR="002A6D9E" w:rsidRPr="001E3D7E">
        <w:rPr>
          <w:rFonts w:ascii="Times New Roman" w:eastAsia="Times New Roman" w:hAnsi="Times New Roman" w:cs="Times New Roman"/>
          <w:b/>
          <w:lang w:bidi="en-US"/>
        </w:rPr>
        <w:t xml:space="preserve"> 26</w:t>
      </w:r>
      <w:r w:rsidRPr="001E3D7E">
        <w:rPr>
          <w:rFonts w:ascii="Times New Roman" w:eastAsia="Times New Roman" w:hAnsi="Times New Roman" w:cs="Times New Roman"/>
          <w:b/>
          <w:lang w:bidi="en-US"/>
        </w:rPr>
        <w:t>.</w:t>
      </w:r>
      <w:r w:rsidR="002A6D9E" w:rsidRPr="001E3D7E">
        <w:rPr>
          <w:rFonts w:ascii="Times New Roman" w:eastAsia="Times New Roman" w:hAnsi="Times New Roman" w:cs="Times New Roman"/>
          <w:b/>
          <w:lang w:bidi="en-US"/>
        </w:rPr>
        <w:t>07</w:t>
      </w:r>
      <w:r w:rsidRPr="001E3D7E">
        <w:rPr>
          <w:rFonts w:ascii="Times New Roman" w:eastAsia="Times New Roman" w:hAnsi="Times New Roman" w:cs="Times New Roman"/>
          <w:b/>
          <w:lang w:bidi="en-US"/>
        </w:rPr>
        <w:t>.2022 until 12:00 pm</w:t>
      </w:r>
      <w:r w:rsidRPr="001E3D7E">
        <w:rPr>
          <w:rFonts w:ascii="Times New Roman" w:eastAsia="Times New Roman" w:hAnsi="Times New Roman" w:cs="Times New Roman"/>
          <w:lang w:bidi="en-US"/>
        </w:rPr>
        <w:t>.</w:t>
      </w:r>
    </w:p>
    <w:p w:rsidR="005759EF" w:rsidRDefault="005759EF" w:rsidP="00F85B61">
      <w:pPr>
        <w:spacing w:after="0"/>
        <w:rPr>
          <w:rFonts w:ascii="Times New Roman" w:hAnsi="Times New Roman" w:cs="Times New Roman"/>
          <w:lang w:val="sk-SK"/>
        </w:rPr>
      </w:pPr>
    </w:p>
    <w:p w:rsidR="00DC6E4C" w:rsidRDefault="00DC6E4C">
      <w:pPr>
        <w:rPr>
          <w:rFonts w:ascii="Times New Roman" w:hAnsi="Times New Roman" w:cs="Times New Roman"/>
          <w:lang w:val="sk-SK"/>
        </w:rPr>
      </w:pPr>
      <w:r>
        <w:rPr>
          <w:rFonts w:ascii="Times New Roman" w:eastAsia="Times New Roman" w:hAnsi="Times New Roman" w:cs="Times New Roman"/>
          <w:lang w:bidi="en-US"/>
        </w:rPr>
        <w:t>In ............................, on ..................</w:t>
      </w:r>
    </w:p>
    <w:p w:rsidR="00DC6E4C" w:rsidRDefault="00DC6E4C" w:rsidP="00F85B61">
      <w:pPr>
        <w:spacing w:after="0"/>
        <w:rPr>
          <w:rFonts w:ascii="Times New Roman" w:hAnsi="Times New Roman" w:cs="Times New Roman"/>
          <w:lang w:val="sk-SK"/>
        </w:rPr>
      </w:pPr>
    </w:p>
    <w:p w:rsidR="00DC6E4C" w:rsidRDefault="00DC6E4C">
      <w:pPr>
        <w:rPr>
          <w:rFonts w:ascii="Times New Roman" w:hAnsi="Times New Roman" w:cs="Times New Roman"/>
          <w:lang w:val="sk-SK"/>
        </w:rPr>
      </w:pPr>
      <w:r>
        <w:rPr>
          <w:rFonts w:ascii="Times New Roman" w:eastAsia="Times New Roman" w:hAnsi="Times New Roman" w:cs="Times New Roman"/>
          <w:lang w:bidi="en-US"/>
        </w:rPr>
        <w:t>On behalf of the supplier:</w:t>
      </w:r>
    </w:p>
    <w:p w:rsidR="00DC6E4C" w:rsidRDefault="00DC6E4C">
      <w:pPr>
        <w:rPr>
          <w:rFonts w:ascii="Times New Roman" w:hAnsi="Times New Roman" w:cs="Times New Roman"/>
          <w:lang w:val="sk-SK"/>
        </w:rPr>
      </w:pPr>
    </w:p>
    <w:p w:rsidR="00DC6E4C" w:rsidRDefault="00DC6E4C">
      <w:pPr>
        <w:rPr>
          <w:rFonts w:ascii="Times New Roman" w:hAnsi="Times New Roman" w:cs="Times New Roman"/>
          <w:lang w:val="sk-SK"/>
        </w:rPr>
      </w:pPr>
      <w:r>
        <w:rPr>
          <w:rFonts w:ascii="Times New Roman" w:eastAsia="Times New Roman" w:hAnsi="Times New Roman" w:cs="Times New Roman"/>
          <w:lang w:bidi="en-US"/>
        </w:rPr>
        <w:t>............................................................................</w:t>
      </w:r>
    </w:p>
    <w:p w:rsidR="00DC6E4C" w:rsidRDefault="00DC6E4C" w:rsidP="00DC6E4C">
      <w:pPr>
        <w:ind w:left="708" w:firstLine="708"/>
        <w:rPr>
          <w:rFonts w:ascii="Times New Roman" w:hAnsi="Times New Roman" w:cs="Times New Roman"/>
          <w:lang w:val="sk-SK"/>
        </w:rPr>
      </w:pPr>
      <w:r>
        <w:rPr>
          <w:rFonts w:ascii="Times New Roman" w:eastAsia="Times New Roman" w:hAnsi="Times New Roman" w:cs="Times New Roman"/>
          <w:lang w:bidi="en-US"/>
        </w:rPr>
        <w:t>(signature)</w:t>
      </w:r>
    </w:p>
    <w:p w:rsidR="00DC6E4C" w:rsidRDefault="00DC6E4C" w:rsidP="007B00D1">
      <w:pPr>
        <w:rPr>
          <w:rFonts w:ascii="Times New Roman" w:hAnsi="Times New Roman" w:cs="Times New Roman"/>
          <w:lang w:val="sk-SK"/>
        </w:rPr>
      </w:pPr>
      <w:r>
        <w:rPr>
          <w:rFonts w:ascii="Times New Roman" w:eastAsia="Times New Roman" w:hAnsi="Times New Roman" w:cs="Times New Roman"/>
          <w:lang w:bidi="en-US"/>
        </w:rPr>
        <w:t>(name, surname and position of the signatory)</w:t>
      </w:r>
    </w:p>
    <w:p w:rsidR="00AD4B14" w:rsidRDefault="00AD4B14" w:rsidP="007B00D1">
      <w:pPr>
        <w:rPr>
          <w:rFonts w:ascii="Times New Roman" w:hAnsi="Times New Roman" w:cs="Times New Roman"/>
          <w:lang w:val="sk-SK"/>
        </w:rPr>
      </w:pPr>
    </w:p>
    <w:p w:rsidR="00AD4B14" w:rsidRPr="00AD4B14" w:rsidRDefault="00AD4B14" w:rsidP="00AD4B14">
      <w:pPr>
        <w:spacing w:after="0"/>
        <w:rPr>
          <w:rFonts w:ascii="Times New Roman" w:hAnsi="Times New Roman" w:cs="Times New Roman"/>
          <w:b/>
          <w:u w:val="single"/>
          <w:lang w:val="sk-SK"/>
        </w:rPr>
      </w:pPr>
      <w:r w:rsidRPr="00804ABB">
        <w:rPr>
          <w:rFonts w:ascii="Times New Roman" w:eastAsia="Times New Roman" w:hAnsi="Times New Roman" w:cs="Times New Roman"/>
          <w:b/>
          <w:u w:val="single"/>
          <w:lang w:bidi="en-US"/>
        </w:rPr>
        <w:t>Annexes:</w:t>
      </w:r>
    </w:p>
    <w:p w:rsidR="00AD4B14" w:rsidRPr="00AD4B14" w:rsidRDefault="00AD4B14" w:rsidP="00AD4B14">
      <w:pPr>
        <w:rPr>
          <w:sz w:val="32"/>
          <w:szCs w:val="32"/>
        </w:rPr>
      </w:pPr>
      <w:r>
        <w:rPr>
          <w:rFonts w:ascii="Times New Roman" w:eastAsia="Times New Roman" w:hAnsi="Times New Roman" w:cs="Times New Roman"/>
          <w:lang w:bidi="en-US"/>
        </w:rPr>
        <w:t>Annex 1: Indexation Mechanism Proposal and Explanation for a Tender for Winter Chemical Spreading Materials.</w:t>
      </w:r>
    </w:p>
    <w:p w:rsidR="00AD4B14" w:rsidRDefault="00AD4B14" w:rsidP="00AD4B14">
      <w:pPr>
        <w:rPr>
          <w:rFonts w:ascii="Times New Roman" w:hAnsi="Times New Roman" w:cs="Times New Roman"/>
          <w:lang w:val="sk-SK"/>
        </w:rPr>
      </w:pPr>
    </w:p>
    <w:sectPr w:rsidR="00AD4B14" w:rsidSect="00A861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237" w:rsidRDefault="000A1237" w:rsidP="00EB5496">
      <w:pPr>
        <w:spacing w:after="0" w:line="240" w:lineRule="auto"/>
      </w:pPr>
      <w:r>
        <w:separator/>
      </w:r>
    </w:p>
  </w:endnote>
  <w:endnote w:type="continuationSeparator" w:id="0">
    <w:p w:rsidR="000A1237" w:rsidRDefault="000A1237" w:rsidP="00EB5496">
      <w:pPr>
        <w:spacing w:after="0" w:line="240" w:lineRule="auto"/>
      </w:pPr>
      <w:r>
        <w:continuationSeparator/>
      </w:r>
    </w:p>
  </w:endnote>
  <w:endnote w:type="continuationNotice" w:id="1">
    <w:p w:rsidR="000A1237" w:rsidRDefault="000A1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31" w:rsidRDefault="00B02137">
    <w:pPr>
      <w:pStyle w:val="Pta"/>
      <w:jc w:val="center"/>
      <w:rPr>
        <w:caps/>
        <w:noProof/>
        <w:color w:val="5B9BD5" w:themeColor="accent1"/>
      </w:rPr>
    </w:pPr>
    <w:r>
      <w:rPr>
        <w:color w:val="5B9BD5" w:themeColor="accent1"/>
        <w:lang w:bidi="en-US"/>
      </w:rPr>
      <w:fldChar w:fldCharType="begin"/>
    </w:r>
    <w:r w:rsidR="00552F31">
      <w:rPr>
        <w:color w:val="5B9BD5" w:themeColor="accent1"/>
        <w:lang w:bidi="en-US"/>
      </w:rPr>
      <w:instrText xml:space="preserve"> PAGE   \* MERGEFORMAT </w:instrText>
    </w:r>
    <w:r>
      <w:rPr>
        <w:color w:val="5B9BD5" w:themeColor="accent1"/>
        <w:lang w:bidi="en-US"/>
      </w:rPr>
      <w:fldChar w:fldCharType="separate"/>
    </w:r>
    <w:r w:rsidR="001E3D7E">
      <w:rPr>
        <w:noProof/>
        <w:color w:val="5B9BD5" w:themeColor="accent1"/>
        <w:lang w:bidi="en-US"/>
      </w:rPr>
      <w:t>1</w:t>
    </w:r>
    <w:r>
      <w:rPr>
        <w:noProof/>
        <w:color w:val="5B9BD5" w:themeColor="accent1"/>
        <w:lang w:bidi="en-US"/>
      </w:rPr>
      <w:fldChar w:fldCharType="end"/>
    </w:r>
  </w:p>
  <w:p w:rsidR="00552F31" w:rsidRDefault="00552F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237" w:rsidRDefault="000A1237" w:rsidP="00EB5496">
      <w:pPr>
        <w:spacing w:after="0" w:line="240" w:lineRule="auto"/>
      </w:pPr>
      <w:r>
        <w:separator/>
      </w:r>
    </w:p>
  </w:footnote>
  <w:footnote w:type="continuationSeparator" w:id="0">
    <w:p w:rsidR="000A1237" w:rsidRDefault="000A1237" w:rsidP="00EB5496">
      <w:pPr>
        <w:spacing w:after="0" w:line="240" w:lineRule="auto"/>
      </w:pPr>
      <w:r>
        <w:continuationSeparator/>
      </w:r>
    </w:p>
  </w:footnote>
  <w:footnote w:type="continuationNotice" w:id="1">
    <w:p w:rsidR="000A1237" w:rsidRDefault="000A1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1DC3"/>
    <w:multiLevelType w:val="hybridMultilevel"/>
    <w:tmpl w:val="DE1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1006FBC"/>
    <w:multiLevelType w:val="hybridMultilevel"/>
    <w:tmpl w:val="22767F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261B97"/>
    <w:multiLevelType w:val="hybridMultilevel"/>
    <w:tmpl w:val="5C2A2874"/>
    <w:lvl w:ilvl="0" w:tplc="C2163AE6">
      <w:start w:val="1"/>
      <w:numFmt w:val="bullet"/>
      <w:lvlText w:val="⬜"/>
      <w:lvlJc w:val="left"/>
      <w:pPr>
        <w:ind w:left="717" w:hanging="360"/>
      </w:pPr>
      <w:rPr>
        <w:rFonts w:ascii="Segoe UI Symbol" w:hAnsi="Segoe UI Symbol" w:hint="default"/>
        <w:b w:val="0"/>
        <w:i w:val="0"/>
        <w:caps w:val="0"/>
        <w:strike w:val="0"/>
        <w:dstrike w:val="0"/>
        <w:vanish w:val="0"/>
        <w:color w:val="auto"/>
        <w:sz w:val="22"/>
        <w:u w:val="none"/>
        <w:vertAlign w:val="baseline"/>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 w15:restartNumberingAfterBreak="0">
    <w:nsid w:val="35CB72E9"/>
    <w:multiLevelType w:val="hybridMultilevel"/>
    <w:tmpl w:val="A2F07D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91018A"/>
    <w:multiLevelType w:val="hybridMultilevel"/>
    <w:tmpl w:val="2556B056"/>
    <w:lvl w:ilvl="0" w:tplc="D018C2D6">
      <w:start w:val="1"/>
      <w:numFmt w:val="upp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623D0471"/>
    <w:multiLevelType w:val="hybridMultilevel"/>
    <w:tmpl w:val="194CC15C"/>
    <w:lvl w:ilvl="0" w:tplc="C2163AE6">
      <w:start w:val="1"/>
      <w:numFmt w:val="bullet"/>
      <w:lvlText w:val="⬜"/>
      <w:lvlJc w:val="left"/>
      <w:pPr>
        <w:ind w:left="720" w:hanging="360"/>
      </w:pPr>
      <w:rPr>
        <w:rFonts w:ascii="Segoe UI Symbol" w:hAnsi="Segoe UI Symbol" w:hint="default"/>
        <w:b w:val="0"/>
        <w:i w:val="0"/>
        <w:caps w:val="0"/>
        <w:strike w:val="0"/>
        <w:dstrike w:val="0"/>
        <w:vanish w:val="0"/>
        <w:color w:val="auto"/>
        <w:sz w:val="22"/>
        <w:u w:val="none"/>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48E628E"/>
    <w:multiLevelType w:val="hybridMultilevel"/>
    <w:tmpl w:val="539CDCCA"/>
    <w:lvl w:ilvl="0" w:tplc="CE2CF178">
      <w:start w:val="1"/>
      <w:numFmt w:val="upp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 w15:restartNumberingAfterBreak="0">
    <w:nsid w:val="6B0E5961"/>
    <w:multiLevelType w:val="hybridMultilevel"/>
    <w:tmpl w:val="6ACA3BB6"/>
    <w:lvl w:ilvl="0" w:tplc="C2163AE6">
      <w:start w:val="1"/>
      <w:numFmt w:val="bullet"/>
      <w:lvlText w:val="⬜"/>
      <w:lvlJc w:val="left"/>
      <w:pPr>
        <w:ind w:left="720" w:hanging="360"/>
      </w:pPr>
      <w:rPr>
        <w:rFonts w:ascii="Segoe UI Symbol" w:hAnsi="Segoe UI Symbol" w:hint="default"/>
        <w:b w:val="0"/>
        <w:i w:val="0"/>
        <w:caps w:val="0"/>
        <w:strike w:val="0"/>
        <w:dstrike w:val="0"/>
        <w:vanish w:val="0"/>
        <w:color w:val="auto"/>
        <w:sz w:val="22"/>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C860306"/>
    <w:multiLevelType w:val="hybridMultilevel"/>
    <w:tmpl w:val="47702346"/>
    <w:lvl w:ilvl="0" w:tplc="C2163AE6">
      <w:start w:val="1"/>
      <w:numFmt w:val="bullet"/>
      <w:lvlText w:val="⬜"/>
      <w:lvlJc w:val="left"/>
      <w:pPr>
        <w:ind w:left="717" w:hanging="360"/>
      </w:pPr>
      <w:rPr>
        <w:rFonts w:ascii="Segoe UI Symbol" w:hAnsi="Segoe UI Symbol" w:hint="default"/>
        <w:b w:val="0"/>
        <w:i w:val="0"/>
        <w:caps w:val="0"/>
        <w:strike w:val="0"/>
        <w:dstrike w:val="0"/>
        <w:vanish w:val="0"/>
        <w:color w:val="auto"/>
        <w:sz w:val="22"/>
        <w:u w:val="none"/>
        <w:vertAlign w:val="baseline"/>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4"/>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8025E5"/>
    <w:rsid w:val="000045E6"/>
    <w:rsid w:val="00024A6B"/>
    <w:rsid w:val="00033BEA"/>
    <w:rsid w:val="0004340B"/>
    <w:rsid w:val="00044A7B"/>
    <w:rsid w:val="00075788"/>
    <w:rsid w:val="00075F3A"/>
    <w:rsid w:val="00085E51"/>
    <w:rsid w:val="00093482"/>
    <w:rsid w:val="000A1237"/>
    <w:rsid w:val="000A2CF8"/>
    <w:rsid w:val="000B0AD6"/>
    <w:rsid w:val="000D1683"/>
    <w:rsid w:val="000D6624"/>
    <w:rsid w:val="000E7F57"/>
    <w:rsid w:val="000F3A4A"/>
    <w:rsid w:val="000F5C66"/>
    <w:rsid w:val="00103D74"/>
    <w:rsid w:val="00107C7A"/>
    <w:rsid w:val="001116CF"/>
    <w:rsid w:val="0011279F"/>
    <w:rsid w:val="00131B41"/>
    <w:rsid w:val="001446E1"/>
    <w:rsid w:val="001471F4"/>
    <w:rsid w:val="001565EC"/>
    <w:rsid w:val="00171057"/>
    <w:rsid w:val="00171FA6"/>
    <w:rsid w:val="00175795"/>
    <w:rsid w:val="0018734C"/>
    <w:rsid w:val="001C06CA"/>
    <w:rsid w:val="001E3D7E"/>
    <w:rsid w:val="001E580D"/>
    <w:rsid w:val="001E7BD9"/>
    <w:rsid w:val="001F1AAB"/>
    <w:rsid w:val="001F5EFA"/>
    <w:rsid w:val="00207A3D"/>
    <w:rsid w:val="00217D3B"/>
    <w:rsid w:val="0022788A"/>
    <w:rsid w:val="002426F9"/>
    <w:rsid w:val="00252DF1"/>
    <w:rsid w:val="002548A7"/>
    <w:rsid w:val="0026651D"/>
    <w:rsid w:val="002A6D9E"/>
    <w:rsid w:val="002C2845"/>
    <w:rsid w:val="002C355D"/>
    <w:rsid w:val="002E2E71"/>
    <w:rsid w:val="002E5291"/>
    <w:rsid w:val="002E775C"/>
    <w:rsid w:val="002E7C30"/>
    <w:rsid w:val="00301C09"/>
    <w:rsid w:val="003020DB"/>
    <w:rsid w:val="0031004D"/>
    <w:rsid w:val="003101D5"/>
    <w:rsid w:val="00320902"/>
    <w:rsid w:val="00327670"/>
    <w:rsid w:val="00334394"/>
    <w:rsid w:val="00334917"/>
    <w:rsid w:val="003461D6"/>
    <w:rsid w:val="00352743"/>
    <w:rsid w:val="0036361E"/>
    <w:rsid w:val="00381D35"/>
    <w:rsid w:val="003932D4"/>
    <w:rsid w:val="003A75CB"/>
    <w:rsid w:val="003C3A60"/>
    <w:rsid w:val="003C3C58"/>
    <w:rsid w:val="003C43D0"/>
    <w:rsid w:val="003C7830"/>
    <w:rsid w:val="003D194A"/>
    <w:rsid w:val="003E0E69"/>
    <w:rsid w:val="003E2350"/>
    <w:rsid w:val="003E7A0A"/>
    <w:rsid w:val="003F25D2"/>
    <w:rsid w:val="003F2F8D"/>
    <w:rsid w:val="00404A53"/>
    <w:rsid w:val="004106A4"/>
    <w:rsid w:val="004125FD"/>
    <w:rsid w:val="004402C7"/>
    <w:rsid w:val="00440C56"/>
    <w:rsid w:val="004477A4"/>
    <w:rsid w:val="0045041C"/>
    <w:rsid w:val="00457E4E"/>
    <w:rsid w:val="00461F04"/>
    <w:rsid w:val="004B0C3E"/>
    <w:rsid w:val="004B1B98"/>
    <w:rsid w:val="004C0CE7"/>
    <w:rsid w:val="004C4CB3"/>
    <w:rsid w:val="004D66D4"/>
    <w:rsid w:val="0050185F"/>
    <w:rsid w:val="005047AA"/>
    <w:rsid w:val="0051761C"/>
    <w:rsid w:val="005177B4"/>
    <w:rsid w:val="005310CF"/>
    <w:rsid w:val="00533D71"/>
    <w:rsid w:val="00552F31"/>
    <w:rsid w:val="005741AE"/>
    <w:rsid w:val="005759EF"/>
    <w:rsid w:val="00586D0E"/>
    <w:rsid w:val="005A60D5"/>
    <w:rsid w:val="005C07AB"/>
    <w:rsid w:val="005C3ABC"/>
    <w:rsid w:val="005E08C0"/>
    <w:rsid w:val="005E5FF7"/>
    <w:rsid w:val="005F3CBC"/>
    <w:rsid w:val="00622462"/>
    <w:rsid w:val="0063003B"/>
    <w:rsid w:val="006370BC"/>
    <w:rsid w:val="006459E1"/>
    <w:rsid w:val="006610FF"/>
    <w:rsid w:val="006725AC"/>
    <w:rsid w:val="00673410"/>
    <w:rsid w:val="0068321F"/>
    <w:rsid w:val="0069750E"/>
    <w:rsid w:val="006B0FF8"/>
    <w:rsid w:val="006C188E"/>
    <w:rsid w:val="006E031A"/>
    <w:rsid w:val="00710E54"/>
    <w:rsid w:val="00743CC8"/>
    <w:rsid w:val="00752FCA"/>
    <w:rsid w:val="00757162"/>
    <w:rsid w:val="00760922"/>
    <w:rsid w:val="00790C0B"/>
    <w:rsid w:val="007A5726"/>
    <w:rsid w:val="007B00D1"/>
    <w:rsid w:val="007D388B"/>
    <w:rsid w:val="007E252A"/>
    <w:rsid w:val="007F3E23"/>
    <w:rsid w:val="007F625F"/>
    <w:rsid w:val="008025E5"/>
    <w:rsid w:val="00804ABB"/>
    <w:rsid w:val="0081207F"/>
    <w:rsid w:val="00823680"/>
    <w:rsid w:val="00840D23"/>
    <w:rsid w:val="008446F4"/>
    <w:rsid w:val="008476D7"/>
    <w:rsid w:val="00863890"/>
    <w:rsid w:val="0087021A"/>
    <w:rsid w:val="00871FC0"/>
    <w:rsid w:val="008B581A"/>
    <w:rsid w:val="008C6D31"/>
    <w:rsid w:val="008D3EF2"/>
    <w:rsid w:val="008D41A2"/>
    <w:rsid w:val="008F60FE"/>
    <w:rsid w:val="009148B1"/>
    <w:rsid w:val="009152E6"/>
    <w:rsid w:val="009419EE"/>
    <w:rsid w:val="00952301"/>
    <w:rsid w:val="009814D7"/>
    <w:rsid w:val="00985780"/>
    <w:rsid w:val="009971F1"/>
    <w:rsid w:val="009C0DB8"/>
    <w:rsid w:val="009D01AF"/>
    <w:rsid w:val="009D524B"/>
    <w:rsid w:val="009D7948"/>
    <w:rsid w:val="00A16CA4"/>
    <w:rsid w:val="00A17202"/>
    <w:rsid w:val="00A456B8"/>
    <w:rsid w:val="00A53C5C"/>
    <w:rsid w:val="00A614CA"/>
    <w:rsid w:val="00A63169"/>
    <w:rsid w:val="00A71A37"/>
    <w:rsid w:val="00A75935"/>
    <w:rsid w:val="00A80005"/>
    <w:rsid w:val="00A8154D"/>
    <w:rsid w:val="00A8610E"/>
    <w:rsid w:val="00AD11C6"/>
    <w:rsid w:val="00AD2675"/>
    <w:rsid w:val="00AD4B14"/>
    <w:rsid w:val="00AE5ECF"/>
    <w:rsid w:val="00AE743B"/>
    <w:rsid w:val="00AE7648"/>
    <w:rsid w:val="00B02137"/>
    <w:rsid w:val="00B028F7"/>
    <w:rsid w:val="00B27887"/>
    <w:rsid w:val="00B46240"/>
    <w:rsid w:val="00B64518"/>
    <w:rsid w:val="00B70D98"/>
    <w:rsid w:val="00B8456E"/>
    <w:rsid w:val="00BB64F4"/>
    <w:rsid w:val="00BC495F"/>
    <w:rsid w:val="00BE4EB6"/>
    <w:rsid w:val="00BF2AEC"/>
    <w:rsid w:val="00C05336"/>
    <w:rsid w:val="00C156F3"/>
    <w:rsid w:val="00C20195"/>
    <w:rsid w:val="00C26F8F"/>
    <w:rsid w:val="00C430B6"/>
    <w:rsid w:val="00C65BAE"/>
    <w:rsid w:val="00C70E6B"/>
    <w:rsid w:val="00C73F8B"/>
    <w:rsid w:val="00C7714D"/>
    <w:rsid w:val="00C8305C"/>
    <w:rsid w:val="00C87213"/>
    <w:rsid w:val="00C93A45"/>
    <w:rsid w:val="00CE12E6"/>
    <w:rsid w:val="00CE1A89"/>
    <w:rsid w:val="00CE2E1A"/>
    <w:rsid w:val="00CE4710"/>
    <w:rsid w:val="00CE72F8"/>
    <w:rsid w:val="00D00CF5"/>
    <w:rsid w:val="00D16504"/>
    <w:rsid w:val="00D234B9"/>
    <w:rsid w:val="00D26928"/>
    <w:rsid w:val="00D47DAF"/>
    <w:rsid w:val="00D60B5E"/>
    <w:rsid w:val="00D709C1"/>
    <w:rsid w:val="00D73DF8"/>
    <w:rsid w:val="00D75E14"/>
    <w:rsid w:val="00D909C6"/>
    <w:rsid w:val="00D94AFA"/>
    <w:rsid w:val="00DA7E06"/>
    <w:rsid w:val="00DC6E4C"/>
    <w:rsid w:val="00DD705B"/>
    <w:rsid w:val="00DF18D5"/>
    <w:rsid w:val="00E13CC2"/>
    <w:rsid w:val="00E27477"/>
    <w:rsid w:val="00E43E60"/>
    <w:rsid w:val="00E533B6"/>
    <w:rsid w:val="00E62985"/>
    <w:rsid w:val="00E827FD"/>
    <w:rsid w:val="00E87A0D"/>
    <w:rsid w:val="00EA2AF1"/>
    <w:rsid w:val="00EA6E3B"/>
    <w:rsid w:val="00EB18C8"/>
    <w:rsid w:val="00EB50C8"/>
    <w:rsid w:val="00EB5496"/>
    <w:rsid w:val="00EC26C1"/>
    <w:rsid w:val="00ED021B"/>
    <w:rsid w:val="00EE5B36"/>
    <w:rsid w:val="00EF5C2B"/>
    <w:rsid w:val="00F143BF"/>
    <w:rsid w:val="00F302DB"/>
    <w:rsid w:val="00F56D05"/>
    <w:rsid w:val="00F8329B"/>
    <w:rsid w:val="00F85B61"/>
    <w:rsid w:val="00F9581D"/>
    <w:rsid w:val="00F970AB"/>
    <w:rsid w:val="00FA35CD"/>
    <w:rsid w:val="00FA3D76"/>
    <w:rsid w:val="00FA52C8"/>
    <w:rsid w:val="00FB530F"/>
    <w:rsid w:val="00FD1F71"/>
    <w:rsid w:val="00FD673F"/>
    <w:rsid w:val="00FF0F6E"/>
    <w:rsid w:val="00FF3E4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9BC48-8149-4BBB-8F1E-4378FC46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1FC0"/>
  </w:style>
  <w:style w:type="paragraph" w:styleId="Nadpis2">
    <w:name w:val="heading 2"/>
    <w:basedOn w:val="Normlny"/>
    <w:next w:val="Normlny"/>
    <w:link w:val="Nadpis2Char"/>
    <w:uiPriority w:val="9"/>
    <w:unhideWhenUsed/>
    <w:qFormat/>
    <w:rsid w:val="003276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645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80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025E5"/>
    <w:pPr>
      <w:ind w:left="720"/>
      <w:contextualSpacing/>
    </w:pPr>
  </w:style>
  <w:style w:type="character" w:customStyle="1" w:styleId="Nadpis2Char">
    <w:name w:val="Nadpis 2 Char"/>
    <w:basedOn w:val="Predvolenpsmoodseku"/>
    <w:link w:val="Nadpis2"/>
    <w:uiPriority w:val="9"/>
    <w:rsid w:val="00327670"/>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6459E1"/>
    <w:rPr>
      <w:rFonts w:asciiTheme="majorHAnsi" w:eastAsiaTheme="majorEastAsia" w:hAnsiTheme="majorHAnsi" w:cstheme="majorBidi"/>
      <w:color w:val="1F4D78" w:themeColor="accent1" w:themeShade="7F"/>
      <w:sz w:val="24"/>
      <w:szCs w:val="24"/>
    </w:rPr>
  </w:style>
  <w:style w:type="paragraph" w:styleId="Hlavika">
    <w:name w:val="header"/>
    <w:basedOn w:val="Normlny"/>
    <w:link w:val="HlavikaChar"/>
    <w:uiPriority w:val="99"/>
    <w:unhideWhenUsed/>
    <w:rsid w:val="00EB549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5496"/>
  </w:style>
  <w:style w:type="paragraph" w:styleId="Pta">
    <w:name w:val="footer"/>
    <w:basedOn w:val="Normlny"/>
    <w:link w:val="PtaChar"/>
    <w:uiPriority w:val="99"/>
    <w:unhideWhenUsed/>
    <w:rsid w:val="00EB5496"/>
    <w:pPr>
      <w:tabs>
        <w:tab w:val="center" w:pos="4536"/>
        <w:tab w:val="right" w:pos="9072"/>
      </w:tabs>
      <w:spacing w:after="0" w:line="240" w:lineRule="auto"/>
    </w:pPr>
  </w:style>
  <w:style w:type="character" w:customStyle="1" w:styleId="PtaChar">
    <w:name w:val="Päta Char"/>
    <w:basedOn w:val="Predvolenpsmoodseku"/>
    <w:link w:val="Pta"/>
    <w:uiPriority w:val="99"/>
    <w:rsid w:val="00EB5496"/>
  </w:style>
  <w:style w:type="character" w:styleId="Odkaznakomentr">
    <w:name w:val="annotation reference"/>
    <w:basedOn w:val="Predvolenpsmoodseku"/>
    <w:uiPriority w:val="99"/>
    <w:semiHidden/>
    <w:unhideWhenUsed/>
    <w:rsid w:val="005047AA"/>
    <w:rPr>
      <w:sz w:val="16"/>
      <w:szCs w:val="16"/>
    </w:rPr>
  </w:style>
  <w:style w:type="paragraph" w:styleId="Textkomentra">
    <w:name w:val="annotation text"/>
    <w:basedOn w:val="Normlny"/>
    <w:link w:val="TextkomentraChar"/>
    <w:uiPriority w:val="99"/>
    <w:semiHidden/>
    <w:unhideWhenUsed/>
    <w:rsid w:val="005047AA"/>
    <w:pPr>
      <w:spacing w:line="240" w:lineRule="auto"/>
    </w:pPr>
    <w:rPr>
      <w:sz w:val="20"/>
      <w:szCs w:val="20"/>
    </w:rPr>
  </w:style>
  <w:style w:type="character" w:customStyle="1" w:styleId="TextkomentraChar">
    <w:name w:val="Text komentára Char"/>
    <w:basedOn w:val="Predvolenpsmoodseku"/>
    <w:link w:val="Textkomentra"/>
    <w:uiPriority w:val="99"/>
    <w:semiHidden/>
    <w:rsid w:val="005047AA"/>
    <w:rPr>
      <w:sz w:val="20"/>
      <w:szCs w:val="20"/>
    </w:rPr>
  </w:style>
  <w:style w:type="paragraph" w:styleId="Predmetkomentra">
    <w:name w:val="annotation subject"/>
    <w:basedOn w:val="Textkomentra"/>
    <w:next w:val="Textkomentra"/>
    <w:link w:val="PredmetkomentraChar"/>
    <w:uiPriority w:val="99"/>
    <w:semiHidden/>
    <w:unhideWhenUsed/>
    <w:rsid w:val="005047AA"/>
    <w:rPr>
      <w:b/>
      <w:bCs/>
    </w:rPr>
  </w:style>
  <w:style w:type="character" w:customStyle="1" w:styleId="PredmetkomentraChar">
    <w:name w:val="Predmet komentára Char"/>
    <w:basedOn w:val="TextkomentraChar"/>
    <w:link w:val="Predmetkomentra"/>
    <w:uiPriority w:val="99"/>
    <w:semiHidden/>
    <w:rsid w:val="005047AA"/>
    <w:rPr>
      <w:b/>
      <w:bCs/>
      <w:sz w:val="20"/>
      <w:szCs w:val="20"/>
    </w:rPr>
  </w:style>
  <w:style w:type="paragraph" w:styleId="Textbubliny">
    <w:name w:val="Balloon Text"/>
    <w:basedOn w:val="Normlny"/>
    <w:link w:val="TextbublinyChar"/>
    <w:uiPriority w:val="99"/>
    <w:semiHidden/>
    <w:unhideWhenUsed/>
    <w:rsid w:val="005047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7AA"/>
    <w:rPr>
      <w:rFonts w:ascii="Segoe UI" w:hAnsi="Segoe UI" w:cs="Segoe UI"/>
      <w:sz w:val="18"/>
      <w:szCs w:val="18"/>
    </w:rPr>
  </w:style>
  <w:style w:type="paragraph" w:styleId="Revzia">
    <w:name w:val="Revision"/>
    <w:hidden/>
    <w:uiPriority w:val="99"/>
    <w:semiHidden/>
    <w:rsid w:val="008D41A2"/>
    <w:pPr>
      <w:spacing w:after="0" w:line="240" w:lineRule="auto"/>
    </w:pPr>
  </w:style>
  <w:style w:type="character" w:styleId="Hypertextovprepojenie">
    <w:name w:val="Hyperlink"/>
    <w:basedOn w:val="Predvolenpsmoodseku"/>
    <w:uiPriority w:val="99"/>
    <w:unhideWhenUsed/>
    <w:rsid w:val="00301C09"/>
    <w:rPr>
      <w:color w:val="0563C1" w:themeColor="hyperlink"/>
      <w:u w:val="single"/>
    </w:rPr>
  </w:style>
  <w:style w:type="character" w:customStyle="1" w:styleId="Nevyrieenzmienka1">
    <w:name w:val="Nevyriešená zmienka1"/>
    <w:basedOn w:val="Predvolenpsmoodseku"/>
    <w:uiPriority w:val="99"/>
    <w:semiHidden/>
    <w:unhideWhenUsed/>
    <w:rsid w:val="00301C09"/>
    <w:rPr>
      <w:color w:val="605E5C"/>
      <w:shd w:val="clear" w:color="auto" w:fill="E1DFDD"/>
    </w:rPr>
  </w:style>
  <w:style w:type="paragraph" w:styleId="Textpoznmkypodiarou">
    <w:name w:val="footnote text"/>
    <w:basedOn w:val="Normlny"/>
    <w:link w:val="TextpoznmkypodiarouChar"/>
    <w:uiPriority w:val="99"/>
    <w:semiHidden/>
    <w:unhideWhenUsed/>
    <w:rsid w:val="0017579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75795"/>
    <w:rPr>
      <w:sz w:val="20"/>
      <w:szCs w:val="20"/>
    </w:rPr>
  </w:style>
  <w:style w:type="character" w:styleId="Odkaznapoznmkupodiarou">
    <w:name w:val="footnote reference"/>
    <w:basedOn w:val="Predvolenpsmoodseku"/>
    <w:uiPriority w:val="99"/>
    <w:semiHidden/>
    <w:unhideWhenUsed/>
    <w:rsid w:val="00175795"/>
    <w:rPr>
      <w:vertAlign w:val="superscript"/>
    </w:rPr>
  </w:style>
  <w:style w:type="character" w:styleId="PouitHypertextovPrepojenie">
    <w:name w:val="FollowedHyperlink"/>
    <w:basedOn w:val="Predvolenpsmoodseku"/>
    <w:uiPriority w:val="99"/>
    <w:semiHidden/>
    <w:unhideWhenUsed/>
    <w:rsid w:val="001F5EFA"/>
    <w:rPr>
      <w:color w:val="954F72" w:themeColor="followedHyperlink"/>
      <w:u w:val="single"/>
    </w:rPr>
  </w:style>
  <w:style w:type="character" w:customStyle="1" w:styleId="UnresolvedMention1">
    <w:name w:val="Unresolved Mention1"/>
    <w:basedOn w:val="Predvolenpsmoodseku"/>
    <w:uiPriority w:val="99"/>
    <w:semiHidden/>
    <w:unhideWhenUsed/>
    <w:rsid w:val="00BC4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4844">
      <w:bodyDiv w:val="1"/>
      <w:marLeft w:val="0"/>
      <w:marRight w:val="0"/>
      <w:marTop w:val="0"/>
      <w:marBottom w:val="0"/>
      <w:divBdr>
        <w:top w:val="none" w:sz="0" w:space="0" w:color="auto"/>
        <w:left w:val="none" w:sz="0" w:space="0" w:color="auto"/>
        <w:bottom w:val="none" w:sz="0" w:space="0" w:color="auto"/>
        <w:right w:val="none" w:sz="0" w:space="0" w:color="auto"/>
      </w:divBdr>
    </w:div>
    <w:div w:id="685910646">
      <w:bodyDiv w:val="1"/>
      <w:marLeft w:val="0"/>
      <w:marRight w:val="0"/>
      <w:marTop w:val="0"/>
      <w:marBottom w:val="0"/>
      <w:divBdr>
        <w:top w:val="none" w:sz="0" w:space="0" w:color="auto"/>
        <w:left w:val="none" w:sz="0" w:space="0" w:color="auto"/>
        <w:bottom w:val="none" w:sz="0" w:space="0" w:color="auto"/>
        <w:right w:val="none" w:sz="0" w:space="0" w:color="auto"/>
      </w:divBdr>
    </w:div>
    <w:div w:id="1388457026">
      <w:bodyDiv w:val="1"/>
      <w:marLeft w:val="0"/>
      <w:marRight w:val="0"/>
      <w:marTop w:val="0"/>
      <w:marBottom w:val="0"/>
      <w:divBdr>
        <w:top w:val="none" w:sz="0" w:space="0" w:color="auto"/>
        <w:left w:val="none" w:sz="0" w:space="0" w:color="auto"/>
        <w:bottom w:val="none" w:sz="0" w:space="0" w:color="auto"/>
        <w:right w:val="none" w:sz="0" w:space="0" w:color="auto"/>
      </w:divBdr>
    </w:div>
    <w:div w:id="18769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28151/summa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3A6725C3DCA345BD6E4CB9A4BB1623" ma:contentTypeVersion="5" ma:contentTypeDescription="Umožňuje vytvoriť nový dokument." ma:contentTypeScope="" ma:versionID="20390ce4a4ea7c376099e56211859c5b">
  <xsd:schema xmlns:xsd="http://www.w3.org/2001/XMLSchema" xmlns:xs="http://www.w3.org/2001/XMLSchema" xmlns:p="http://schemas.microsoft.com/office/2006/metadata/properties" xmlns:ns3="c7f52673-ec95-4870-8eaf-b6e1723ff38a" targetNamespace="http://schemas.microsoft.com/office/2006/metadata/properties" ma:root="true" ma:fieldsID="517cb646944d6bcab3b2e48673a128fc" ns3:_="">
    <xsd:import namespace="c7f52673-ec95-4870-8eaf-b6e1723ff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52673-ec95-4870-8eaf-b6e1723f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FBE0-1AAE-45F1-B658-03820B5595CE}">
  <ds:schemaRefs>
    <ds:schemaRef ds:uri="http://schemas.microsoft.com/sharepoint/v3/contenttype/forms"/>
  </ds:schemaRefs>
</ds:datastoreItem>
</file>

<file path=customXml/itemProps2.xml><?xml version="1.0" encoding="utf-8"?>
<ds:datastoreItem xmlns:ds="http://schemas.openxmlformats.org/officeDocument/2006/customXml" ds:itemID="{1B921613-EFA2-4A9D-9A24-FBDE9C7EB2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DBF62F-6DDE-4544-B5A3-786A855A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52673-ec95-4870-8eaf-b6e1723ff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4D488-1098-4DBF-9BE3-F7A42872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2662</Characters>
  <Application>Microsoft Office Word</Application>
  <DocSecurity>0</DocSecurity>
  <Lines>22</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Janáček Miroslav</dc:creator>
  <cp:lastModifiedBy>Ľuboslav Filipovič</cp:lastModifiedBy>
  <cp:revision>4</cp:revision>
  <cp:lastPrinted>2022-06-23T08:01:00Z</cp:lastPrinted>
  <dcterms:created xsi:type="dcterms:W3CDTF">2022-07-04T09:26:00Z</dcterms:created>
  <dcterms:modified xsi:type="dcterms:W3CDTF">2022-07-06T12:20:00Z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0x010100173A6725C3DCA345BD6E4CB9A4BB1623</vt:lpwstr>
  </property>
</Properties>
</file>