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187A554E" w:rsidR="008B41DA" w:rsidRPr="00B63F2E" w:rsidRDefault="00D65B6E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5B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202207</w:t>
            </w:r>
            <w:r w:rsidR="005D1E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5C9921C3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22</w:t>
      </w: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0</w:t>
      </w:r>
      <w:r w:rsidR="00562567" w:rsidRPr="00562567">
        <w:rPr>
          <w:rFonts w:eastAsia="Times New Roman" w:cstheme="minorHAnsi"/>
          <w:b/>
          <w:bCs/>
          <w:sz w:val="32"/>
          <w:szCs w:val="32"/>
          <w:lang w:eastAsia="cs-CZ"/>
        </w:rPr>
        <w:t>12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5D1ED1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5D1ED1">
        <w:rPr>
          <w:rFonts w:eastAsia="Times New Roman" w:cstheme="minorHAnsi"/>
          <w:b/>
          <w:bCs/>
          <w:sz w:val="32"/>
          <w:szCs w:val="32"/>
          <w:lang w:eastAsia="cs-CZ"/>
        </w:rPr>
        <w:t>JABLONEC NAD NISOU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0B0156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1738A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1738A" w:rsidRPr="002411A8" w:rsidRDefault="0021738A" w:rsidP="0021738A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5BAFDB29" w:rsidR="0021738A" w:rsidRPr="00BB7238" w:rsidRDefault="0021738A" w:rsidP="0021738A">
            <w:pPr>
              <w:spacing w:before="40" w:after="40"/>
              <w:ind w:left="9" w:hanging="9"/>
              <w:rPr>
                <w:rFonts w:cstheme="minorHAnsi"/>
                <w:highlight w:val="green"/>
              </w:rPr>
            </w:pPr>
            <w:r w:rsidRPr="009E2BF9">
              <w:rPr>
                <w:rFonts w:cstheme="minorHAnsi"/>
              </w:rPr>
              <w:t>Bc. Petra Omarov, specialista veřejných zakázek</w:t>
            </w:r>
            <w:r>
              <w:rPr>
                <w:rFonts w:cstheme="minorHAnsi"/>
              </w:rPr>
              <w:t xml:space="preserve">, e-mail: </w:t>
            </w:r>
            <w:hyperlink r:id="rId9" w:history="1">
              <w:r w:rsidRPr="00BE4C35">
                <w:rPr>
                  <w:rStyle w:val="Hypertextovodkaz"/>
                  <w:rFonts w:cstheme="minorHAnsi"/>
                </w:rPr>
                <w:t>petra.omarov@silnicelk.cz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1738A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1738A" w:rsidRPr="002411A8" w:rsidRDefault="0021738A" w:rsidP="0021738A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7A7F4BB7" w:rsidR="0021738A" w:rsidRPr="00BB7238" w:rsidRDefault="0021738A" w:rsidP="0021738A">
            <w:pPr>
              <w:spacing w:before="40" w:after="40"/>
              <w:ind w:left="0" w:firstLine="0"/>
              <w:rPr>
                <w:rFonts w:cstheme="minorHAnsi"/>
                <w:highlight w:val="green"/>
              </w:rPr>
            </w:pPr>
            <w:r w:rsidRPr="009E2BF9">
              <w:rPr>
                <w:rFonts w:cstheme="minorHAnsi"/>
              </w:rPr>
              <w:t>René Štefanyk, manažer dopravy</w:t>
            </w:r>
            <w:r>
              <w:rPr>
                <w:rFonts w:cstheme="minorHAnsi"/>
              </w:rPr>
              <w:t xml:space="preserve">, e-mail: </w:t>
            </w:r>
            <w:hyperlink r:id="rId10" w:history="1">
              <w:r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2F1ED5F2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FD1194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6FBAB257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FD1194">
        <w:rPr>
          <w:rFonts w:eastAsia="Arial Unicode MS" w:cstheme="minorHAnsi"/>
          <w:bCs/>
          <w:iCs/>
          <w:kern w:val="3"/>
          <w:lang w:eastAsia="cs-CZ"/>
        </w:rPr>
        <w:t>3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4CC75181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</w:t>
      </w:r>
      <w:r w:rsidR="0041639A">
        <w:rPr>
          <w:rFonts w:cstheme="minorHAnsi"/>
        </w:rPr>
        <w:t>Jablonec nad Nisou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3FF75A37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>14</w:t>
      </w:r>
      <w:r w:rsidR="00D42A9C" w:rsidRPr="0023537A">
        <w:rPr>
          <w:lang w:eastAsia="cs-CZ"/>
        </w:rPr>
        <w:t>)</w:t>
      </w:r>
      <w:r w:rsidR="00ED5FD8">
        <w:rPr>
          <w:lang w:eastAsia="cs-CZ"/>
        </w:rPr>
        <w:t xml:space="preserve"> 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17D4FDBA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394"/>
        <w:gridCol w:w="2119"/>
      </w:tblGrid>
      <w:tr w:rsidR="00732B33" w14:paraId="11C3D49B" w14:textId="77777777" w:rsidTr="00732B33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5695AF" w14:textId="77777777" w:rsidR="00732B33" w:rsidRDefault="00732B33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CB90009" w14:textId="77777777" w:rsidR="00732B33" w:rsidRDefault="00732B33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60435294" w14:textId="77777777" w:rsidR="00732B33" w:rsidRDefault="00732B33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732B33" w14:paraId="7C8971FF" w14:textId="77777777" w:rsidTr="00732B33">
        <w:tc>
          <w:tcPr>
            <w:tcW w:w="1985" w:type="dxa"/>
            <w:vAlign w:val="center"/>
          </w:tcPr>
          <w:p w14:paraId="20BFF3CF" w14:textId="77777777" w:rsidR="00732B33" w:rsidRPr="00445804" w:rsidRDefault="00732B33" w:rsidP="00254CFA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Rýnovice </w:t>
            </w:r>
          </w:p>
        </w:tc>
        <w:tc>
          <w:tcPr>
            <w:tcW w:w="4394" w:type="dxa"/>
            <w:vAlign w:val="center"/>
          </w:tcPr>
          <w:p w14:paraId="7EF91A32" w14:textId="77777777" w:rsidR="00732B33" w:rsidRPr="00880647" w:rsidRDefault="00732B33" w:rsidP="00254CF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Nisou </w:t>
            </w:r>
          </w:p>
        </w:tc>
        <w:tc>
          <w:tcPr>
            <w:tcW w:w="2119" w:type="dxa"/>
            <w:vAlign w:val="center"/>
          </w:tcPr>
          <w:p w14:paraId="356EF3BD" w14:textId="77777777" w:rsidR="00732B33" w:rsidRPr="00BD3FF8" w:rsidRDefault="00732B33" w:rsidP="00254CFA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</w:p>
        </w:tc>
      </w:tr>
      <w:tr w:rsidR="00732B33" w14:paraId="22001A9A" w14:textId="77777777" w:rsidTr="00732B33">
        <w:tc>
          <w:tcPr>
            <w:tcW w:w="1985" w:type="dxa"/>
            <w:vAlign w:val="center"/>
          </w:tcPr>
          <w:p w14:paraId="3FE749C2" w14:textId="77777777" w:rsidR="00732B33" w:rsidRPr="00445804" w:rsidRDefault="00732B33" w:rsidP="00254CFA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Rychnov </w:t>
            </w:r>
          </w:p>
        </w:tc>
        <w:tc>
          <w:tcPr>
            <w:tcW w:w="4394" w:type="dxa"/>
            <w:vAlign w:val="center"/>
          </w:tcPr>
          <w:p w14:paraId="270576B6" w14:textId="77777777" w:rsidR="00732B33" w:rsidRPr="00880647" w:rsidRDefault="00732B33" w:rsidP="00254CF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Nádražní 166, 468 02 Rychnov u Jablonce nad Nisou </w:t>
            </w:r>
          </w:p>
        </w:tc>
        <w:tc>
          <w:tcPr>
            <w:tcW w:w="2119" w:type="dxa"/>
            <w:vAlign w:val="center"/>
          </w:tcPr>
          <w:p w14:paraId="17A7F8CA" w14:textId="77777777" w:rsidR="00732B33" w:rsidRDefault="00732B33" w:rsidP="00254CFA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732B33" w14:paraId="705AD438" w14:textId="77777777" w:rsidTr="00732B33">
        <w:tc>
          <w:tcPr>
            <w:tcW w:w="1985" w:type="dxa"/>
            <w:vAlign w:val="center"/>
          </w:tcPr>
          <w:p w14:paraId="790948C7" w14:textId="77777777" w:rsidR="00732B33" w:rsidRDefault="00732B33" w:rsidP="00254C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</w:t>
            </w:r>
          </w:p>
        </w:tc>
        <w:tc>
          <w:tcPr>
            <w:tcW w:w="4394" w:type="dxa"/>
            <w:vAlign w:val="center"/>
          </w:tcPr>
          <w:p w14:paraId="7439FB64" w14:textId="77777777" w:rsidR="00732B33" w:rsidRPr="00880647" w:rsidRDefault="00732B33" w:rsidP="00254CF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Nová Ves nad Nisou 69, 468 27 Nová Ves nad Nisou </w:t>
            </w:r>
          </w:p>
        </w:tc>
        <w:tc>
          <w:tcPr>
            <w:tcW w:w="2119" w:type="dxa"/>
            <w:vAlign w:val="center"/>
          </w:tcPr>
          <w:p w14:paraId="6F6E2A54" w14:textId="77777777" w:rsidR="00732B33" w:rsidRPr="00BD3FF8" w:rsidRDefault="00732B33" w:rsidP="00732B33">
            <w:pPr>
              <w:spacing w:before="60" w:after="60"/>
              <w:ind w:left="0" w:firstLine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Souprava, po dohodě návěs</w:t>
            </w:r>
          </w:p>
        </w:tc>
      </w:tr>
      <w:tr w:rsidR="00732B33" w14:paraId="7E9184DE" w14:textId="77777777" w:rsidTr="00732B33">
        <w:tc>
          <w:tcPr>
            <w:tcW w:w="1985" w:type="dxa"/>
            <w:vAlign w:val="center"/>
          </w:tcPr>
          <w:p w14:paraId="678C6459" w14:textId="77777777" w:rsidR="00732B33" w:rsidRDefault="00732B33" w:rsidP="00254CF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Desná</w:t>
            </w:r>
          </w:p>
        </w:tc>
        <w:tc>
          <w:tcPr>
            <w:tcW w:w="4394" w:type="dxa"/>
            <w:vAlign w:val="center"/>
          </w:tcPr>
          <w:p w14:paraId="0FF29BDA" w14:textId="77777777" w:rsidR="00732B33" w:rsidRPr="00880647" w:rsidRDefault="00732B33" w:rsidP="00254CF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924, 468 61 Desná </w:t>
            </w:r>
          </w:p>
        </w:tc>
        <w:tc>
          <w:tcPr>
            <w:tcW w:w="2119" w:type="dxa"/>
            <w:vAlign w:val="center"/>
          </w:tcPr>
          <w:p w14:paraId="6951B4C9" w14:textId="77777777" w:rsidR="00732B33" w:rsidRPr="00BD3FF8" w:rsidRDefault="00732B33" w:rsidP="00254CFA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754EF1C7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8E3EB2">
        <w:rPr>
          <w:lang w:eastAsia="cs-CZ"/>
        </w:rPr>
        <w:t>Jablonec nad Nisou</w:t>
      </w:r>
      <w:r w:rsidR="00A74421" w:rsidRPr="0064771A">
        <w:rPr>
          <w:lang w:eastAsia="cs-CZ"/>
        </w:rPr>
        <w:t>.</w:t>
      </w:r>
    </w:p>
    <w:p w14:paraId="3FD3E3AB" w14:textId="3D7BFB0C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>4. do</w:t>
      </w:r>
      <w:r w:rsidR="00163F8E">
        <w:rPr>
          <w:lang w:eastAsia="cs-CZ"/>
        </w:rPr>
        <w:t> 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lastRenderedPageBreak/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lastRenderedPageBreak/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1F36701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B0156">
        <w:rPr>
          <w:rFonts w:ascii="Calibri" w:hAnsi="Calibri" w:cs="Calibri"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lastRenderedPageBreak/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</w:t>
      </w:r>
      <w:r w:rsidRPr="0064771A">
        <w:rPr>
          <w:lang w:eastAsia="cs-CZ"/>
        </w:rPr>
        <w:lastRenderedPageBreak/>
        <w:t xml:space="preserve">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6E8DAA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21738A">
        <w:rPr>
          <w:rFonts w:ascii="Calibri" w:hAnsi="Calibri" w:cs="Calibri"/>
        </w:rPr>
        <w:t xml:space="preserve">nejméně </w:t>
      </w:r>
      <w:r w:rsidR="0079791C" w:rsidRPr="0021738A">
        <w:rPr>
          <w:rFonts w:ascii="Calibri" w:hAnsi="Calibri" w:cs="Calibri"/>
        </w:rPr>
        <w:t>4</w:t>
      </w:r>
      <w:r w:rsidRPr="0021738A">
        <w:rPr>
          <w:rFonts w:ascii="Calibri" w:hAnsi="Calibri" w:cs="Calibri"/>
        </w:rPr>
        <w:t>.000.000,- Kč na</w:t>
      </w:r>
      <w:r w:rsidRPr="00A95C29">
        <w:rPr>
          <w:rFonts w:ascii="Calibri" w:hAnsi="Calibri" w:cs="Calibri"/>
        </w:rPr>
        <w:t xml:space="preserve"> pojistnou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lastRenderedPageBreak/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 xml:space="preserve">) dnů ode dne jejího zjištění. Smluvní strany se dohodly, že veškeré </w:t>
      </w:r>
      <w:r w:rsidRPr="00722FD3">
        <w:lastRenderedPageBreak/>
        <w:t>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DC9922A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38C030F7" w:rsidR="00C10CEB" w:rsidRPr="00A97331" w:rsidRDefault="0075164D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>
        <w:rPr>
          <w:rFonts w:ascii="Calibri" w:hAnsi="Calibri" w:cs="Calibri"/>
          <w:color w:val="000000"/>
        </w:rPr>
        <w:t xml:space="preserve">podle dohody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>
        <w:rPr>
          <w:rFonts w:ascii="Calibri" w:hAnsi="Calibri" w:cs="Calibri"/>
          <w:color w:val="000000"/>
        </w:rPr>
        <w:t>, kdy v takovém případě Dodavatel</w:t>
      </w:r>
      <w:r w:rsidRPr="00A97331">
        <w:rPr>
          <w:rFonts w:ascii="Calibri" w:hAnsi="Calibri" w:cs="Calibri"/>
          <w:color w:val="000000"/>
        </w:rPr>
        <w:t xml:space="preserve"> obdrží jedno vyhotovení</w:t>
      </w:r>
      <w:r>
        <w:rPr>
          <w:rFonts w:ascii="Calibri" w:hAnsi="Calibri" w:cs="Calibri"/>
          <w:color w:val="000000"/>
        </w:rPr>
        <w:t xml:space="preserve"> a Objednatel po dvou vyhotoveních.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1BA5F6CF" w14:textId="77777777" w:rsidR="00391991" w:rsidRDefault="00391991" w:rsidP="00030E18">
      <w:pPr>
        <w:pStyle w:val="Clanek11"/>
        <w:spacing w:before="120" w:after="120"/>
        <w:rPr>
          <w:rFonts w:cstheme="minorHAnsi"/>
        </w:rPr>
        <w:sectPr w:rsidR="00391991" w:rsidSect="00A83EA8">
          <w:footerReference w:type="defaul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p w14:paraId="7E7BA34B" w14:textId="2A812FEB" w:rsidR="00341D58" w:rsidRDefault="00341D58" w:rsidP="00341D58">
      <w:pPr>
        <w:contextualSpacing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1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oceněný Soupis dodávek</w:t>
      </w:r>
    </w:p>
    <w:p w14:paraId="3918020B" w14:textId="3391D306" w:rsidR="004F6D1C" w:rsidRDefault="004F6D1C" w:rsidP="00341D58">
      <w:pPr>
        <w:contextualSpacing/>
        <w:jc w:val="center"/>
        <w:rPr>
          <w:rFonts w:cstheme="minorHAnsi"/>
          <w:b/>
          <w:i/>
          <w:iCs/>
          <w:caps/>
        </w:rPr>
      </w:pPr>
      <w:r>
        <w:rPr>
          <w:i/>
        </w:rPr>
        <w:t>Příloha tvoří samostatný dokument.</w:t>
      </w:r>
      <w:r>
        <w:rPr>
          <w:rFonts w:cstheme="minorHAnsi"/>
          <w:b/>
          <w:i/>
          <w:iCs/>
          <w:caps/>
        </w:rPr>
        <w:t xml:space="preserve"> </w:t>
      </w:r>
    </w:p>
    <w:p w14:paraId="7C59522F" w14:textId="09B2E072" w:rsidR="00391159" w:rsidRDefault="00391159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2E592332" w14:textId="77777777" w:rsidR="00391159" w:rsidRPr="004F6D1C" w:rsidRDefault="00391159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4A99FE8A" w14:textId="4AFEFF38" w:rsidR="00341D58" w:rsidRDefault="00391159" w:rsidP="00391991">
      <w:pPr>
        <w:keepNext/>
        <w:spacing w:after="0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PŘ</w:t>
      </w:r>
      <w:r w:rsidR="00341D58" w:rsidRPr="002D7406">
        <w:rPr>
          <w:rFonts w:cstheme="minorHAnsi"/>
          <w:b/>
          <w:caps/>
        </w:rPr>
        <w:t xml:space="preserve">íloha č. </w:t>
      </w:r>
      <w:r w:rsidR="00341D58">
        <w:rPr>
          <w:rFonts w:cstheme="minorHAnsi"/>
          <w:b/>
          <w:caps/>
        </w:rPr>
        <w:t>2</w:t>
      </w:r>
      <w:r w:rsidR="00341D58" w:rsidRPr="002D7406">
        <w:rPr>
          <w:rFonts w:cstheme="minorHAnsi"/>
          <w:b/>
          <w:caps/>
        </w:rPr>
        <w:t xml:space="preserve"> </w:t>
      </w:r>
      <w:r w:rsidR="00341D58">
        <w:rPr>
          <w:rFonts w:cstheme="minorHAnsi"/>
          <w:b/>
          <w:caps/>
        </w:rPr>
        <w:t>–</w:t>
      </w:r>
      <w:r w:rsidR="00341D58" w:rsidRPr="002D7406">
        <w:rPr>
          <w:rFonts w:cstheme="minorHAnsi"/>
          <w:b/>
          <w:caps/>
        </w:rPr>
        <w:t xml:space="preserve"> </w:t>
      </w:r>
      <w:r w:rsidR="00341D58" w:rsidRPr="00341D58">
        <w:rPr>
          <w:rFonts w:cstheme="minorHAnsi"/>
          <w:b/>
          <w:caps/>
        </w:rPr>
        <w:t>Doklad o provedení sítové analýzy pro sypké materiály podle vyhlášky č. 104/1997 Sb. vydaný akreditovanou laboratoří</w:t>
      </w:r>
    </w:p>
    <w:p w14:paraId="10C6CA3B" w14:textId="3E1FEF36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1F835807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78F06F33" w14:textId="01AEB34E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3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Doklad o provedení chemického rozboru podle Standardu pro chemické a rozmrazovací materiály (dle TP 116)</w:t>
      </w:r>
    </w:p>
    <w:p w14:paraId="3AE6EDD7" w14:textId="384D9674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5A7E88A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483F23C0" w14:textId="6B2B1DD0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4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Písemné prohlášení výrobce o záruce a ošetření soli proti spékavosti</w:t>
      </w:r>
    </w:p>
    <w:p w14:paraId="394B6400" w14:textId="57CF6CE8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73EF4F3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12E07655" w14:textId="2170BC44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5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Bezpečnostní list podle Nařízení Evropského parlamentu a Rady (ES) č. 1907/2006</w:t>
      </w:r>
    </w:p>
    <w:p w14:paraId="6C12BA04" w14:textId="3855074F" w:rsidR="00341D58" w:rsidRDefault="00341D58" w:rsidP="00341D58">
      <w:pPr>
        <w:keepNext/>
        <w:spacing w:after="0"/>
        <w:jc w:val="center"/>
        <w:rPr>
          <w:i/>
        </w:rPr>
      </w:pPr>
      <w:r>
        <w:rPr>
          <w:i/>
        </w:rPr>
        <w:t>Příloha tvoří samostatný dokument.</w:t>
      </w:r>
    </w:p>
    <w:p w14:paraId="71EB76D5" w14:textId="77777777" w:rsidR="000B7F97" w:rsidRPr="000B7F97" w:rsidRDefault="000B7F97" w:rsidP="000B7F97">
      <w:pPr>
        <w:keepNext/>
        <w:spacing w:after="0"/>
        <w:jc w:val="center"/>
        <w:rPr>
          <w:rFonts w:cstheme="minorHAnsi"/>
        </w:rPr>
      </w:pPr>
    </w:p>
    <w:sectPr w:rsidR="000B7F97" w:rsidRPr="000B7F97" w:rsidSect="00A83EA8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B43C" w14:textId="77777777" w:rsidR="00EE6D2C" w:rsidRDefault="00EE6D2C" w:rsidP="003E320C">
      <w:pPr>
        <w:spacing w:after="0" w:line="240" w:lineRule="auto"/>
      </w:pPr>
      <w:r>
        <w:separator/>
      </w:r>
    </w:p>
  </w:endnote>
  <w:endnote w:type="continuationSeparator" w:id="0">
    <w:p w14:paraId="50813F03" w14:textId="77777777" w:rsidR="00EE6D2C" w:rsidRDefault="00EE6D2C" w:rsidP="003E320C">
      <w:pPr>
        <w:spacing w:after="0" w:line="240" w:lineRule="auto"/>
      </w:pPr>
      <w:r>
        <w:continuationSeparator/>
      </w:r>
    </w:p>
  </w:endnote>
  <w:endnote w:type="continuationNotice" w:id="1">
    <w:p w14:paraId="0DF3A4FA" w14:textId="77777777" w:rsidR="00EE6D2C" w:rsidRDefault="00EE6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7D80" w14:textId="77777777" w:rsidR="00EE6D2C" w:rsidRDefault="00EE6D2C" w:rsidP="003E320C">
      <w:pPr>
        <w:spacing w:after="0" w:line="240" w:lineRule="auto"/>
      </w:pPr>
      <w:r>
        <w:separator/>
      </w:r>
    </w:p>
  </w:footnote>
  <w:footnote w:type="continuationSeparator" w:id="0">
    <w:p w14:paraId="0531B9CD" w14:textId="77777777" w:rsidR="00EE6D2C" w:rsidRDefault="00EE6D2C" w:rsidP="003E320C">
      <w:pPr>
        <w:spacing w:after="0" w:line="240" w:lineRule="auto"/>
      </w:pPr>
      <w:r>
        <w:continuationSeparator/>
      </w:r>
    </w:p>
  </w:footnote>
  <w:footnote w:type="continuationNotice" w:id="1">
    <w:p w14:paraId="39959D30" w14:textId="77777777" w:rsidR="00EE6D2C" w:rsidRDefault="00EE6D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0156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1D2A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8E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1738A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819A3"/>
    <w:rsid w:val="00390CA5"/>
    <w:rsid w:val="00391159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1639A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0D97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1ED1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2B33"/>
    <w:rsid w:val="007349E7"/>
    <w:rsid w:val="00741DB0"/>
    <w:rsid w:val="00742F0F"/>
    <w:rsid w:val="00744C57"/>
    <w:rsid w:val="00744F53"/>
    <w:rsid w:val="007458F8"/>
    <w:rsid w:val="007464A1"/>
    <w:rsid w:val="00746D8D"/>
    <w:rsid w:val="0075164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95B8E"/>
    <w:rsid w:val="0079791C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6CC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485E"/>
    <w:rsid w:val="008D6167"/>
    <w:rsid w:val="008E1BA4"/>
    <w:rsid w:val="008E2532"/>
    <w:rsid w:val="008E3EB2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1318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96D73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398C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4D15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0D25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5FD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1194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5688</Words>
  <Characters>33562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13</cp:revision>
  <cp:lastPrinted>2021-12-14T06:48:00Z</cp:lastPrinted>
  <dcterms:created xsi:type="dcterms:W3CDTF">2022-07-19T06:57:00Z</dcterms:created>
  <dcterms:modified xsi:type="dcterms:W3CDTF">2022-07-20T16:40:00Z</dcterms:modified>
</cp:coreProperties>
</file>