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widowControl/>
        <w:suppressAutoHyphens w:val="true"/>
        <w:bidi w:val="0"/>
        <w:spacing w:lineRule="auto" w:line="276" w:before="480" w:after="0"/>
        <w:ind w:left="113" w:right="0" w:hanging="0"/>
        <w:jc w:val="left"/>
        <w:rPr>
          <w:rFonts w:ascii="Arial" w:hAnsi="Arial"/>
        </w:rPr>
      </w:pP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>Załącznik nr 4 do SWZ</w:t>
      </w:r>
    </w:p>
    <w:p>
      <w:pPr>
        <w:pStyle w:val="Tretekstu"/>
        <w:widowControl/>
        <w:suppressAutoHyphens w:val="true"/>
        <w:bidi w:val="0"/>
        <w:spacing w:lineRule="auto" w:line="276" w:before="480" w:after="0"/>
        <w:ind w:left="113" w:right="0" w:hanging="0"/>
        <w:jc w:val="left"/>
        <w:rPr>
          <w:rFonts w:ascii="Arial" w:hAnsi="Arial"/>
        </w:rPr>
      </w:pP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>BZP.271</w:t>
      </w: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shd w:fill="auto" w:val="clear"/>
          <w:em w:val="none"/>
        </w:rPr>
        <w:t>.17.</w:t>
      </w: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 xml:space="preserve">2022  Dostawa 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>urządzeń komputerowych</w:t>
      </w: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 xml:space="preserve"> w ramach projektu grantowego „Cyfrowa Gmina”</w:t>
      </w:r>
    </w:p>
    <w:p>
      <w:pPr>
        <w:pStyle w:val="Normal"/>
        <w:spacing w:lineRule="auto" w:line="252" w:before="480" w:after="0"/>
        <w:ind w:left="5245" w:firstLine="709"/>
        <w:rPr>
          <w:rFonts w:ascii="Arial" w:hAnsi="Arial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Arial" w:hAnsi="Arial"/>
        </w:rPr>
      </w:pPr>
      <w:r>
        <w:rPr>
          <w:rFonts w:eastAsia="Liberation Serif;Times New Roman" w:cs="Liberation Serif;Times New Roman" w:ascii="Arial" w:hAnsi="Arial"/>
          <w:b w:val="false"/>
          <w:bCs w:val="false"/>
          <w:color w:val="000000"/>
          <w:sz w:val="24"/>
          <w:szCs w:val="24"/>
          <w:u w:val="none"/>
          <w:lang w:val="pl-PL" w:eastAsia="zh-CN" w:bidi="ar-SA"/>
        </w:rPr>
        <w:t xml:space="preserve">Gmina Andrychów </w:t>
      </w:r>
    </w:p>
    <w:p>
      <w:pPr>
        <w:pStyle w:val="Normal"/>
        <w:spacing w:lineRule="auto" w:line="240" w:before="0" w:after="0"/>
        <w:ind w:left="5954" w:hanging="0"/>
        <w:rPr>
          <w:rFonts w:ascii="Arial" w:hAnsi="Arial"/>
        </w:rPr>
      </w:pPr>
      <w:r>
        <w:rPr>
          <w:rFonts w:eastAsia="Calibri" w:cs="Arial" w:ascii="Arial" w:hAnsi="Arial" w:eastAsiaTheme="minorHAnsi"/>
          <w:b w:val="false"/>
          <w:bCs w:val="false"/>
          <w:color w:val="auto"/>
          <w:kern w:val="0"/>
          <w:sz w:val="24"/>
          <w:szCs w:val="24"/>
          <w:u w:val="none"/>
          <w:lang w:val="pl-PL" w:eastAsia="en-US" w:bidi="ar-SA"/>
        </w:rPr>
        <w:t>Rynek</w:t>
      </w:r>
      <w:r>
        <w:rPr>
          <w:rFonts w:eastAsia="Liberation Serif;Times New Roman" w:cs="Liberation Serif;Times New Roman" w:ascii="Arial" w:hAnsi="Arial"/>
          <w:b w:val="false"/>
          <w:bCs w:val="false"/>
          <w:color w:val="000000"/>
          <w:sz w:val="24"/>
          <w:szCs w:val="24"/>
          <w:u w:val="none"/>
          <w:lang w:val="pl-PL" w:eastAsia="zh-CN" w:bidi="ar-SA"/>
        </w:rPr>
        <w:t xml:space="preserve"> 15</w:t>
      </w:r>
    </w:p>
    <w:p>
      <w:pPr>
        <w:pStyle w:val="Normal"/>
        <w:spacing w:lineRule="auto" w:line="240" w:before="0" w:after="0"/>
        <w:ind w:left="5954" w:hanging="0"/>
        <w:rPr>
          <w:rFonts w:ascii="Arial" w:hAnsi="Arial"/>
        </w:rPr>
      </w:pPr>
      <w:r>
        <w:rPr>
          <w:rFonts w:eastAsia="Liberation Serif;Times New Roman" w:cs="Liberation Serif;Times New Roman" w:ascii="Arial" w:hAnsi="Arial"/>
          <w:b w:val="false"/>
          <w:bCs w:val="false"/>
          <w:color w:val="000000"/>
          <w:sz w:val="24"/>
          <w:szCs w:val="24"/>
          <w:u w:val="none"/>
          <w:lang w:val="pl-PL" w:eastAsia="zh-CN" w:bidi="ar-SA"/>
        </w:rPr>
        <w:t xml:space="preserve">34-120 Andrychów </w:t>
      </w:r>
    </w:p>
    <w:p>
      <w:pPr>
        <w:pStyle w:val="Normal"/>
        <w:spacing w:lineRule="auto" w:line="240" w:before="0" w:after="0"/>
        <w:ind w:lef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  <w:u w:val="none"/>
        </w:rPr>
        <w:t xml:space="preserve">Oświadczenia wykonawcy/wykonawcy wspólnie ubiegającego się o udzielenie zamówienia </w:t>
      </w:r>
    </w:p>
    <w:p>
      <w:pPr>
        <w:pStyle w:val="Normal"/>
        <w:spacing w:lineRule="auto" w:line="360" w:before="120" w:after="0"/>
        <w:jc w:val="center"/>
        <w:rPr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  <w:u w:val="non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 w:val="false"/>
          <w:bCs w:val="false"/>
          <w:caps/>
          <w:sz w:val="24"/>
          <w:szCs w:val="24"/>
          <w:u w:val="non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>składane na podstawie art. 125 ust. 1 ustawy Pzp</w:t>
      </w:r>
    </w:p>
    <w:p>
      <w:pPr>
        <w:pStyle w:val="Normal"/>
        <w:spacing w:lineRule="auto" w:line="360" w:before="240" w:after="0"/>
        <w:ind w:hanging="0"/>
        <w:jc w:val="left"/>
        <w:rPr>
          <w:rFonts w:ascii="Arial" w:hAnsi="Arial" w:eastAsia="Calibri" w:cs="Arial" w:eastAsiaTheme="minorHAnsi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 xml:space="preserve">Na potrzeby postępowania o udzielenie zamówienia publicznego pn. </w:t>
      </w:r>
      <w:r>
        <w:rPr>
          <w:rFonts w:eastAsia="Calibri" w:cs="Arial" w:ascii="Arial" w:hAnsi="Arial" w:eastAsiaTheme="minorHAns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auto"/>
          <w:spacing w:val="1"/>
          <w:kern w:val="0"/>
          <w:sz w:val="24"/>
          <w:szCs w:val="24"/>
          <w:u w:val="none"/>
          <w:em w:val="none"/>
          <w:lang w:val="pl-PL" w:eastAsia="en-US" w:bidi="ar-SA"/>
        </w:rPr>
        <w:t xml:space="preserve">Dostawa 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kern w:val="0"/>
          <w:sz w:val="24"/>
          <w:szCs w:val="24"/>
          <w:u w:val="none"/>
          <w:em w:val="none"/>
          <w:lang w:val="pl-PL" w:eastAsia="en-US" w:bidi="ar-SA"/>
        </w:rPr>
        <w:t>urządzeń komputerowych</w:t>
      </w:r>
      <w:r>
        <w:rPr>
          <w:rFonts w:eastAsia="Calibri" w:cs="Arial" w:ascii="Arial" w:hAnsi="Arial" w:eastAsiaTheme="minorHAns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auto"/>
          <w:spacing w:val="1"/>
          <w:kern w:val="0"/>
          <w:sz w:val="24"/>
          <w:szCs w:val="24"/>
          <w:u w:val="none"/>
          <w:em w:val="none"/>
          <w:lang w:val="pl-PL" w:eastAsia="en-US" w:bidi="ar-SA"/>
        </w:rPr>
        <w:t xml:space="preserve"> w ramach projektu grantowego „Cyfrowa Gmina”</w:t>
      </w: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>,</w:t>
      </w:r>
      <w:r>
        <w:rPr>
          <w:rFonts w:eastAsia="Calibri" w:cs="Arial" w:ascii="Arial" w:hAnsi="Arial" w:eastAsiaTheme="minorHAnsi"/>
          <w:i/>
          <w:color w:val="auto"/>
          <w:kern w:val="0"/>
          <w:sz w:val="24"/>
          <w:szCs w:val="24"/>
          <w:lang w:val="pl-PL" w:eastAsia="en-US" w:bidi="ar-SA"/>
        </w:rPr>
        <w:t xml:space="preserve"> </w:t>
      </w: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 xml:space="preserve">prowadzonego przez </w:t>
      </w:r>
      <w:r>
        <w:rPr>
          <w:rFonts w:eastAsia="Calibri" w:cs="Arial" w:ascii="Arial" w:hAnsi="Arial" w:eastAsiaTheme="minorHAnsi"/>
          <w:b w:val="false"/>
          <w:bCs w:val="false"/>
          <w:color w:val="auto"/>
          <w:kern w:val="0"/>
          <w:sz w:val="24"/>
          <w:szCs w:val="24"/>
          <w:u w:val="none"/>
          <w:lang w:val="pl-PL" w:eastAsia="en-US" w:bidi="ar-SA"/>
        </w:rPr>
        <w:t>Gmina Andrychów, Rynek 15, 34-120 Andrychów</w:t>
      </w:r>
      <w:r>
        <w:rPr>
          <w:rFonts w:eastAsia="Calibri" w:cs="Arial" w:ascii="Arial" w:hAnsi="Arial" w:eastAsiaTheme="minorHAnsi"/>
          <w:i/>
          <w:color w:val="auto"/>
          <w:kern w:val="0"/>
          <w:sz w:val="24"/>
          <w:szCs w:val="24"/>
          <w:lang w:val="pl-PL" w:eastAsia="en-US" w:bidi="ar-SA"/>
        </w:rPr>
        <w:t xml:space="preserve">, </w:t>
      </w: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2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Arial" w:hAnsi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cs="Arial" w:ascii="Arial" w:hAnsi="Arial"/>
          <w:color w:val="222222"/>
          <w:sz w:val="21"/>
          <w:szCs w:val="21"/>
        </w:rPr>
        <w:footnoteReference w:id="3"/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Normal"/>
        <w:spacing w:lineRule="auto" w:line="360" w:before="0" w:after="120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 xml:space="preserve">w </w:t>
      </w:r>
      <w:r>
        <w:rPr>
          <w:rFonts w:eastAsia="Calibri" w:cs="Arial" w:ascii="Arial" w:hAnsi="Arial" w:eastAsiaTheme="minorHAnsi"/>
          <w:b w:val="false"/>
          <w:bCs w:val="false"/>
          <w:color w:val="auto"/>
          <w:kern w:val="0"/>
          <w:sz w:val="21"/>
          <w:szCs w:val="21"/>
          <w:lang w:val="pl-PL" w:eastAsia="en-US" w:bidi="ar-SA"/>
        </w:rPr>
        <w:t>Specyfikacji Warunków Zamówienia</w:t>
      </w:r>
      <w:r>
        <w:rPr>
          <w:rFonts w:eastAsia="Calibri" w:cs="Arial" w:ascii="Arial" w:hAnsi="Arial" w:eastAsiaTheme="minorHAnsi"/>
          <w:b/>
          <w:color w:val="auto"/>
          <w:kern w:val="0"/>
          <w:sz w:val="21"/>
          <w:szCs w:val="21"/>
          <w:lang w:val="pl-PL" w:eastAsia="en-US" w:bidi="ar-SA"/>
        </w:rPr>
        <w:t xml:space="preserve"> 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w postępowaniu o udzielenie zamówienia</w:t>
      </w:r>
      <w:r>
        <w:rPr>
          <w:rFonts w:eastAsia="Calibri" w:cs="Arial" w:ascii="Arial" w:hAnsi="Arial" w:eastAsiaTheme="minorHAnsi"/>
          <w:b w:val="false"/>
          <w:bCs w:val="false"/>
          <w:color w:val="auto"/>
          <w:kern w:val="0"/>
          <w:sz w:val="21"/>
          <w:szCs w:val="21"/>
          <w:lang w:val="pl-PL" w:eastAsia="en-US" w:bidi="ar-SA"/>
        </w:rPr>
        <w:t xml:space="preserve"> publicznego w trybie przetargu nieograniczonego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 xml:space="preserve"> pn.: </w:t>
      </w:r>
      <w:r>
        <w:rPr>
          <w:rFonts w:eastAsia="Calibri" w:cs="Arial" w:ascii="Arial" w:hAnsi="Arial" w:eastAsiaTheme="minorHAnsi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kern w:val="0"/>
          <w:position w:val="0"/>
          <w:sz w:val="21"/>
          <w:sz w:val="21"/>
          <w:szCs w:val="21"/>
          <w:u w:val="none"/>
          <w:shd w:fill="auto" w:val="clear"/>
          <w:vertAlign w:val="baseline"/>
          <w:em w:val="none"/>
          <w:lang w:val="pl-PL" w:eastAsia="en-US" w:bidi="ar-SA"/>
        </w:rPr>
        <w:t xml:space="preserve">Dostawa </w:t>
      </w:r>
      <w:r>
        <w:rPr>
          <w:rFonts w:eastAsia="Calibri" w:cs="Arial" w:ascii="Arial" w:hAnsi="Arial" w:eastAsiaTheme="minorHAns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kern w:val="0"/>
          <w:position w:val="0"/>
          <w:sz w:val="21"/>
          <w:sz w:val="21"/>
          <w:szCs w:val="21"/>
          <w:u w:val="none"/>
          <w:shd w:fill="auto" w:val="clear"/>
          <w:vertAlign w:val="baseline"/>
          <w:em w:val="none"/>
          <w:lang w:val="pl-PL" w:eastAsia="en-US" w:bidi="ar-SA"/>
        </w:rPr>
        <w:t>urządzeń komputerowych</w:t>
      </w:r>
      <w:r>
        <w:rPr>
          <w:rFonts w:eastAsia="Calibri" w:cs="Arial" w:ascii="Arial" w:hAnsi="Arial" w:eastAsiaTheme="minorHAnsi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kern w:val="0"/>
          <w:position w:val="0"/>
          <w:sz w:val="21"/>
          <w:sz w:val="21"/>
          <w:szCs w:val="21"/>
          <w:u w:val="none"/>
          <w:shd w:fill="auto" w:val="clear"/>
          <w:vertAlign w:val="baseline"/>
          <w:em w:val="none"/>
          <w:lang w:val="pl-PL" w:eastAsia="en-US" w:bidi="ar-SA"/>
        </w:rPr>
        <w:t xml:space="preserve"> w ramach projektu grantowego „Cyfrowa Gmina”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 xml:space="preserve"> prowadzonego przez Gminę Andrychów, Rynek 15, </w:t>
      </w:r>
      <w:r>
        <w:rPr>
          <w:rFonts w:eastAsia="Calibri" w:cs="Arial" w:ascii="Arial" w:hAnsi="Arial" w:eastAsiaTheme="minorHAnsi"/>
          <w:b w:val="false"/>
          <w:bCs w:val="false"/>
          <w:color w:val="auto"/>
          <w:kern w:val="0"/>
          <w:sz w:val="21"/>
          <w:szCs w:val="21"/>
          <w:u w:val="none"/>
          <w:lang w:val="pl-PL" w:eastAsia="en-US" w:bidi="ar-SA"/>
        </w:rPr>
        <w:t>34-120 Andrychów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 xml:space="preserve"> </w:t>
      </w:r>
      <w:bookmarkStart w:id="1" w:name="_Hlk99005462"/>
      <w:r>
        <w:rPr>
          <w:rFonts w:eastAsia="Calibri" w:cs="Arial" w:ascii="Arial" w:hAnsi="Arial" w:eastAsiaTheme="minorHAnsi"/>
          <w:i/>
          <w:color w:val="auto"/>
          <w:kern w:val="0"/>
          <w:sz w:val="16"/>
          <w:szCs w:val="16"/>
          <w:lang w:val="pl-PL" w:eastAsia="en-US" w:bidi="ar-SA"/>
        </w:rPr>
        <w:t xml:space="preserve">(wskazać </w:t>
      </w:r>
      <w:bookmarkEnd w:id="1"/>
      <w:r>
        <w:rPr>
          <w:rFonts w:eastAsia="Calibri" w:cs="Arial" w:ascii="Arial" w:hAnsi="Arial" w:eastAsiaTheme="minorHAnsi"/>
          <w:i/>
          <w:color w:val="auto"/>
          <w:kern w:val="0"/>
          <w:sz w:val="16"/>
          <w:szCs w:val="16"/>
          <w:lang w:val="pl-PL" w:eastAsia="en-US" w:bidi="ar-SA"/>
        </w:rPr>
        <w:t>dokument i właściwą jednostkę redakcyjną dokumentu, w której określono warunki u</w:t>
      </w:r>
      <w:r>
        <w:rPr>
          <w:rFonts w:cs="Arial" w:ascii="Arial" w:hAnsi="Arial"/>
          <w:i/>
          <w:sz w:val="16"/>
          <w:szCs w:val="16"/>
        </w:rPr>
        <w:t>działu w postępowaniu),</w:t>
      </w:r>
      <w:r>
        <w:rPr>
          <w:rFonts w:cs="Arial" w:ascii="Arial" w:hAnsi="Arial"/>
          <w:sz w:val="21"/>
          <w:szCs w:val="21"/>
        </w:rPr>
        <w:t xml:space="preserve"> polegam na zdolnościach lub sytuacji następującego podmiotu udostępniającego zasoby: </w:t>
      </w:r>
      <w:bookmarkStart w:id="2" w:name="_Hlk99014455"/>
      <w:r>
        <w:rPr>
          <w:rFonts w:cs="Arial" w:ascii="Arial" w:hAnsi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left"/>
        <w:rPr/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uto" w:line="360" w:before="0" w:after="0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3" w:name="_GoBack"/>
      <w:bookmarkEnd w:id="3"/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left"/>
        <w:rPr/>
      </w:pPr>
      <w:r>
        <w:rPr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>…………………………………………………..…….</w:t>
      </w:r>
    </w:p>
    <w:p>
      <w:pPr>
        <w:pStyle w:val="Normal"/>
        <w:widowControl/>
        <w:suppressAutoHyphens w:val="true"/>
        <w:bidi w:val="0"/>
        <w:spacing w:lineRule="auto" w:line="360" w:before="0" w:after="160"/>
        <w:ind w:left="3402" w:right="0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eastAsia="Times New Roman" w:cs="Calibri"/>
          <w:b w:val="false"/>
          <w:bCs w:val="false"/>
          <w:i/>
          <w:color w:val="auto"/>
          <w:kern w:val="0"/>
          <w:sz w:val="26"/>
          <w:szCs w:val="26"/>
          <w:lang w:val="pl-PL" w:eastAsia="zh-CN" w:bidi="ar-SA"/>
        </w:rPr>
        <w:t>Podpis(y) osób uprawnionych do składania oświadczeń woli w imieniu Wykonawcy  (</w:t>
      </w:r>
      <w:bookmarkStart w:id="4" w:name="_Hlk102639179"/>
      <w:r>
        <w:rPr>
          <w:rFonts w:eastAsia="Times New Roman" w:cs="Calibri"/>
          <w:b w:val="false"/>
          <w:bCs w:val="false"/>
          <w:i/>
          <w:color w:val="auto"/>
          <w:kern w:val="0"/>
          <w:sz w:val="26"/>
          <w:szCs w:val="26"/>
          <w:lang w:val="pl-PL" w:eastAsia="zh-CN" w:bidi="ar-SA"/>
        </w:rPr>
        <w:t xml:space="preserve">kwalifikowany podpis elektroniczny </w:t>
      </w:r>
      <w:bookmarkEnd w:id="4"/>
      <w:r>
        <w:rPr>
          <w:rFonts w:eastAsia="Times New Roman" w:cs="Calibri"/>
          <w:b w:val="false"/>
          <w:bCs w:val="false"/>
          <w:i/>
          <w:color w:val="auto"/>
          <w:kern w:val="0"/>
          <w:sz w:val="26"/>
          <w:szCs w:val="26"/>
          <w:lang w:val="pl-PL" w:eastAsia="zh-CN" w:bidi="ar-SA"/>
        </w:rPr>
        <w:t>)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1417" w:top="2753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114935" distR="114935" simplePos="0" locked="0" layoutInCell="0" allowOverlap="1" relativeHeight="5">
          <wp:simplePos x="0" y="0"/>
          <wp:positionH relativeFrom="column">
            <wp:posOffset>-18415</wp:posOffset>
          </wp:positionH>
          <wp:positionV relativeFrom="paragraph">
            <wp:posOffset>-327660</wp:posOffset>
          </wp:positionV>
          <wp:extent cx="5759450" cy="594995"/>
          <wp:effectExtent l="0" t="0" r="0" b="0"/>
          <wp:wrapTopAndBottom/>
          <wp:docPr id="1" name="Obraz2" descr="kolorowe logo Fundusze Europejskie Polska Cyfrowa, Flaga Rzeczpospolitej Polskiej, logo Unii 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kolorowe logo Fundusze Europejskie Polska Cyfrowa, Flaga Rzeczpospolitej Polskiej, logo Unii  Europejskiej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" t="-118" r="-12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Tretekstu"/>
      <w:widowControl/>
      <w:suppressAutoHyphens w:val="true"/>
      <w:bidi w:val="0"/>
      <w:spacing w:lineRule="auto" w:line="276" w:before="480" w:after="0"/>
      <w:ind w:left="113" w:right="0" w:hanging="0"/>
      <w:jc w:val="center"/>
      <w:rPr/>
    </w:pPr>
    <w:r>
      <w:rPr>
        <w:rFonts w:eastAsia="Times New Roman" w:cs="Calibri" w:ascii="Tahoma" w:hAnsi="Tahoma"/>
        <w:b w:val="false"/>
        <w:bCs w:val="false"/>
        <w:i w:val="false"/>
        <w:iCs w:val="false"/>
        <w:strike w:val="false"/>
        <w:dstrike w:val="false"/>
        <w:outline w:val="false"/>
        <w:shadow w:val="false"/>
        <w:color w:val="000000"/>
        <w:spacing w:val="1"/>
        <w:kern w:val="0"/>
        <w:position w:val="0"/>
        <w:sz w:val="21"/>
        <w:sz w:val="21"/>
        <w:szCs w:val="21"/>
        <w:u w:val="none"/>
        <w:shd w:fill="auto" w:val="clear"/>
        <w:vertAlign w:val="baseline"/>
        <w:em w:val="none"/>
        <w:lang w:val="pl-PL" w:eastAsia="zh-CN" w:bidi="ar-SA"/>
      </w:rPr>
      <w:t>Sfinansowano w ramach reakcji Unii na pandemię COVID-19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f45b6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95a93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Textbody">
    <w:name w:val="Text body"/>
    <w:next w:val="Style14"/>
    <w:qFormat/>
    <w:pPr>
      <w:widowControl w:val="false"/>
      <w:suppressAutoHyphens w:val="true"/>
      <w:bidi w:val="0"/>
      <w:spacing w:lineRule="auto" w:line="288" w:before="0" w:after="140"/>
      <w:jc w:val="left"/>
    </w:pPr>
    <w:rPr>
      <w:rFonts w:ascii="Liberation Serif;Times New Roman" w:hAnsi="Liberation Serif;Times New Roman" w:eastAsia="NSimSun" w:cs="Lucida Sans"/>
      <w:color w:val="auto"/>
      <w:kern w:val="0"/>
      <w:sz w:val="24"/>
      <w:szCs w:val="24"/>
      <w:lang w:val="pl-PL" w:eastAsia="zh-CN" w:bidi="hi-IN"/>
    </w:rPr>
  </w:style>
  <w:style w:type="paragraph" w:styleId="Style14">
    <w:name w:val="Style14"/>
    <w:next w:val="Textbody"/>
    <w:qFormat/>
    <w:pPr>
      <w:widowControl w:val="false"/>
      <w:suppressAutoHyphens w:val="true"/>
      <w:bidi w:val="0"/>
      <w:spacing w:before="0" w:after="0"/>
      <w:jc w:val="both"/>
    </w:pPr>
    <w:rPr>
      <w:rFonts w:ascii="Liberation Serif;Times New Roman" w:hAnsi="Liberation Serif;Times New Roman" w:eastAsia="NSimSun" w:cs="Lucida Sans"/>
      <w:color w:val="auto"/>
      <w:kern w:val="0"/>
      <w:sz w:val="24"/>
      <w:szCs w:val="24"/>
      <w:lang w:val="pl-PL" w:eastAsia="zh-CN" w:bidi="hi-IN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LibreOffice/7.2.7.2$Windows_X86_64 LibreOffice_project/8d71d29d553c0f7dcbfa38fbfda25ee34cce99a2</Application>
  <AppVersion>15.0000</AppVersion>
  <Pages>4</Pages>
  <Words>1205</Words>
  <Characters>8036</Characters>
  <CharactersWithSpaces>9200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2022-05-06T13:13:00Z</dcterms:created>
  <dc:creator>Kowalski Artur</dc:creator>
  <dc:description/>
  <dc:language>pl-PL</dc:language>
  <cp:lastModifiedBy/>
  <cp:lastPrinted>2022-07-28T13:02:37Z</cp:lastPrinted>
  <dcterms:modified xsi:type="dcterms:W3CDTF">2022-07-28T13:02:43Z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IntellectualProperty:Authorization:StartValidity">
    <vt:lpwstr>2022-06-22T10:55:43,329000000</vt:lpwstr>
  </property>
  <property fmtid="{D5CDD505-2E9C-101B-9397-08002B2CF9AE}" pid="3" name="urn:bails:IntellectualProperty:Authorization:StopValidity">
    <vt:lpwstr>None</vt:lpwstr>
  </property>
  <property fmtid="{D5CDD505-2E9C-101B-9397-08002B2CF9AE}" pid="4" name="urn:bails:IntellectualProperty:BusinessAuthorization:Identifier">
    <vt:lpwstr>urn:example:tscp:1</vt:lpwstr>
  </property>
  <property fmtid="{D5CDD505-2E9C-101B-9397-08002B2CF9AE}" pid="5" name="urn:bails:IntellectualProperty:BusinessAuthorization:Locator">
    <vt:lpwstr>None</vt:lpwstr>
  </property>
  <property fmtid="{D5CDD505-2E9C-101B-9397-08002B2CF9AE}" pid="6" name="urn:bails:IntellectualProperty:BusinessAuthorization:Name">
    <vt:lpwstr>None</vt:lpwstr>
  </property>
  <property fmtid="{D5CDD505-2E9C-101B-9397-08002B2CF9AE}" pid="7" name="urn:bails:IntellectualProperty:BusinessAuthorizationCategory:Identifier">
    <vt:lpwstr>urn:example:tscp:1:non-business</vt:lpwstr>
  </property>
  <property fmtid="{D5CDD505-2E9C-101B-9397-08002B2CF9AE}" pid="8" name="urn:bails:IntellectualProperty:BusinessAuthorizationCategory:Identifier:OID">
    <vt:lpwstr>None</vt:lpwstr>
  </property>
  <property fmtid="{D5CDD505-2E9C-101B-9397-08002B2CF9AE}" pid="9" name="urn:bails:IntellectualProperty:BusinessAuthorizationCategory:Locator">
    <vt:lpwstr>None</vt:lpwstr>
  </property>
  <property fmtid="{D5CDD505-2E9C-101B-9397-08002B2CF9AE}" pid="10" name="urn:bails:IntellectualProperty:BusinessAuthorizationCategory:Name">
    <vt:lpwstr>Non-Business</vt:lpwstr>
  </property>
  <property fmtid="{D5CDD505-2E9C-101B-9397-08002B2CF9AE}" pid="11" name="urn:bails:IntellectualProperty:CreationOrigin">
    <vt:lpwstr>BAF_POLICY</vt:lpwstr>
  </property>
  <property fmtid="{D5CDD505-2E9C-101B-9397-08002B2CF9AE}" pid="12" name="urn:bails:IntellectualProperty:Impact:Level:Availability">
    <vt:lpwstr>0</vt:lpwstr>
  </property>
  <property fmtid="{D5CDD505-2E9C-101B-9397-08002B2CF9AE}" pid="13" name="urn:bails:IntellectualProperty:Impact:Level:Confidentiality">
    <vt:lpwstr>0</vt:lpwstr>
  </property>
  <property fmtid="{D5CDD505-2E9C-101B-9397-08002B2CF9AE}" pid="14" name="urn:bails:IntellectualProperty:Impact:Level:Integrity">
    <vt:lpwstr>0</vt:lpwstr>
  </property>
  <property fmtid="{D5CDD505-2E9C-101B-9397-08002B2CF9AE}" pid="15" name="urn:bails:IntellectualProperty:Impact:Scale">
    <vt:lpwstr>UK-Cabinet</vt:lpwstr>
  </property>
  <property fmtid="{D5CDD505-2E9C-101B-9397-08002B2CF9AE}" pid="16" name="urn:bails:IntellectualProperty:Marking:document-footer">
    <vt:lpwstr/>
  </property>
  <property fmtid="{D5CDD505-2E9C-101B-9397-08002B2CF9AE}" pid="17" name="urn:bails:IntellectualProperty:Marking:document-header">
    <vt:lpwstr/>
  </property>
  <property fmtid="{D5CDD505-2E9C-101B-9397-08002B2CF9AE}" pid="18" name="urn:bails:IntellectualProperty:Marking:document-watermark">
    <vt:lpwstr/>
  </property>
  <property fmtid="{D5CDD505-2E9C-101B-9397-08002B2CF9AE}" pid="19" name="urn:bails:IntellectualProperty:Marking:email-first-line-of-text">
    <vt:lpwstr/>
  </property>
  <property fmtid="{D5CDD505-2E9C-101B-9397-08002B2CF9AE}" pid="20" name="urn:bails:IntellectualProperty:Marking:email-last-line-of-text">
    <vt:lpwstr/>
  </property>
  <property fmtid="{D5CDD505-2E9C-101B-9397-08002B2CF9AE}" pid="21" name="urn:bails:IntellectualProperty:Marking:email-subject-prefix">
    <vt:lpwstr/>
  </property>
  <property fmtid="{D5CDD505-2E9C-101B-9397-08002B2CF9AE}" pid="22" name="urn:bails:IntellectualProperty:Marking:email-subject-suffix">
    <vt:lpwstr/>
  </property>
  <property fmtid="{D5CDD505-2E9C-101B-9397-08002B2CF9AE}" pid="23" name="urn:bails:IntellectualProperty:Marking:general-distribution-statement">
    <vt:lpwstr/>
  </property>
  <property fmtid="{D5CDD505-2E9C-101B-9397-08002B2CF9AE}" pid="24" name="urn:bails:IntellectualProperty:Marking:general-distribution-statement:ext:2">
    <vt:lpwstr/>
  </property>
  <property fmtid="{D5CDD505-2E9C-101B-9397-08002B2CF9AE}" pid="25" name="urn:bails:IntellectualProperty:Marking:general-distribution-statement:ext:3">
    <vt:lpwstr/>
  </property>
  <property fmtid="{D5CDD505-2E9C-101B-9397-08002B2CF9AE}" pid="26" name="urn:bails:IntellectualProperty:Marking:general-distribution-statement:ext:4">
    <vt:lpwstr/>
  </property>
  <property fmtid="{D5CDD505-2E9C-101B-9397-08002B2CF9AE}" pid="27" name="urn:bails:IntellectualProperty:Marking:general-summary">
    <vt:lpwstr/>
  </property>
  <property fmtid="{D5CDD505-2E9C-101B-9397-08002B2CF9AE}" pid="28" name="urn:bails:IntellectualProperty:Marking:general-warning-statement">
    <vt:lpwstr/>
  </property>
  <property fmtid="{D5CDD505-2E9C-101B-9397-08002B2CF9AE}" pid="29" name="urn:bails:IntellectualProperty:Marking:general-warning-statement:ext:2">
    <vt:lpwstr/>
  </property>
  <property fmtid="{D5CDD505-2E9C-101B-9397-08002B2CF9AE}" pid="30" name="urn:bails:IntellectualProperty:Marking:general-warning-statement:ext:3">
    <vt:lpwstr/>
  </property>
  <property fmtid="{D5CDD505-2E9C-101B-9397-08002B2CF9AE}" pid="31" name="urn:bails:IntellectualProperty:Marking:general-warning-statement:ext:4">
    <vt:lpwstr/>
  </property>
  <property fmtid="{D5CDD505-2E9C-101B-9397-08002B2CF9AE}" pid="32" name="urn:bails:IntellectualProperty:MarkingPrecedence">
    <vt:lpwstr>None</vt:lpwstr>
  </property>
  <property fmtid="{D5CDD505-2E9C-101B-9397-08002B2CF9AE}" pid="33" name="urn:bails:IntellectualProperty:Policy:Identifier">
    <vt:lpwstr>None</vt:lpwstr>
  </property>
  <property fmtid="{D5CDD505-2E9C-101B-9397-08002B2CF9AE}" pid="34" name="urn:bails:IntellectualProperty:Policy:Name">
    <vt:lpwstr>TSCP Example Policy</vt:lpwstr>
  </property>
  <property fmtid="{D5CDD505-2E9C-101B-9397-08002B2CF9AE}" pid="35" name="urn:bails:IntellectualProperty:PolicyAuthority:Country">
    <vt:lpwstr>None</vt:lpwstr>
  </property>
  <property fmtid="{D5CDD505-2E9C-101B-9397-08002B2CF9AE}" pid="36" name="urn:bails:IntellectualProperty:PolicyAuthority:Identifier">
    <vt:lpwstr>None</vt:lpwstr>
  </property>
  <property fmtid="{D5CDD505-2E9C-101B-9397-08002B2CF9AE}" pid="37" name="urn:bails:IntellectualProperty:PolicyAuthority:Name">
    <vt:lpwstr>TSCP Example Policy Authority</vt:lpwstr>
  </property>
</Properties>
</file>