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35531"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7817F377"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r w:rsidR="00BE4AB9">
        <w:rPr>
          <w:rFonts w:ascii="Arial Narrow" w:hAnsi="Arial Narrow" w:cs="Arial"/>
          <w:sz w:val="20"/>
          <w:szCs w:val="20"/>
        </w:rPr>
        <w:t xml:space="preserve"> </w:t>
      </w:r>
    </w:p>
    <w:p w14:paraId="49E4250D" w14:textId="77777777" w:rsidR="006F40AB" w:rsidRDefault="006F40AB" w:rsidP="006F40AB">
      <w:pPr>
        <w:rPr>
          <w:rFonts w:ascii="Arial Narrow" w:hAnsi="Arial Narrow" w:cs="Arial"/>
          <w:b/>
        </w:rPr>
      </w:pPr>
    </w:p>
    <w:p w14:paraId="506E3146" w14:textId="77777777" w:rsidR="00E9222B" w:rsidRPr="006B331C" w:rsidRDefault="00E9222B" w:rsidP="00E9222B">
      <w:pPr>
        <w:jc w:val="center"/>
        <w:rPr>
          <w:rFonts w:ascii="Arial Narrow" w:hAnsi="Arial Narrow" w:cs="Arial"/>
          <w:b/>
          <w:sz w:val="28"/>
        </w:rPr>
      </w:pPr>
      <w:r w:rsidRPr="006B331C">
        <w:rPr>
          <w:rFonts w:ascii="Arial Narrow" w:hAnsi="Arial Narrow" w:cs="Arial"/>
          <w:b/>
          <w:sz w:val="28"/>
        </w:rPr>
        <w:t xml:space="preserve">Podmienky účasti </w:t>
      </w:r>
    </w:p>
    <w:p w14:paraId="2E652432"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792A5CDD"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69398E28"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600F88BE"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4EFDD6A9"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7B20F1F9"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39EFE2D5" w14:textId="77777777" w:rsidR="00A75414"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sidR="000D7D1C">
        <w:rPr>
          <w:rFonts w:ascii="Arial Narrow" w:eastAsia="Arial" w:hAnsi="Arial Narrow"/>
        </w:rPr>
        <w:t>ristami hospodárskeho subjektu.</w:t>
      </w:r>
    </w:p>
    <w:p w14:paraId="42DDC525" w14:textId="77777777" w:rsidR="000D7D1C" w:rsidRPr="00755471" w:rsidRDefault="000D7D1C" w:rsidP="000D7D1C">
      <w:pPr>
        <w:pStyle w:val="Odsekzoznamu"/>
        <w:spacing w:after="200" w:line="276" w:lineRule="auto"/>
        <w:ind w:left="681"/>
        <w:jc w:val="both"/>
        <w:rPr>
          <w:rFonts w:ascii="Arial Narrow" w:eastAsia="Arial" w:hAnsi="Arial Narrow"/>
          <w:noProof/>
        </w:rPr>
      </w:pPr>
    </w:p>
    <w:p w14:paraId="50E0E605"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5EE535E4" w14:textId="77777777" w:rsidR="000D7D1C" w:rsidRPr="00755471" w:rsidRDefault="000D7D1C" w:rsidP="000D7D1C">
      <w:pPr>
        <w:pStyle w:val="Odsekzoznamu"/>
        <w:spacing w:after="200" w:line="276" w:lineRule="auto"/>
        <w:ind w:left="681"/>
        <w:jc w:val="both"/>
        <w:rPr>
          <w:rFonts w:ascii="Arial Narrow" w:eastAsia="Arial" w:hAnsi="Arial Narrow"/>
        </w:rPr>
      </w:pPr>
    </w:p>
    <w:p w14:paraId="1A515122"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3CA24F02" w14:textId="77777777" w:rsidR="000D7D1C" w:rsidRPr="000D7D1C" w:rsidRDefault="000D7D1C" w:rsidP="000D7D1C">
      <w:pPr>
        <w:pStyle w:val="Odsekzoznamu"/>
        <w:rPr>
          <w:rFonts w:ascii="Arial Narrow" w:eastAsia="Arial" w:hAnsi="Arial Narrow"/>
        </w:rPr>
      </w:pPr>
    </w:p>
    <w:p w14:paraId="39BDC868"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w:t>
      </w:r>
      <w:r w:rsidRPr="00755471">
        <w:rPr>
          <w:rFonts w:ascii="Arial Narrow" w:eastAsia="Arial" w:hAnsi="Arial Narrow"/>
        </w:rPr>
        <w:lastRenderedPageBreak/>
        <w:t>zrušený konkurz pre nedostatok majetku. Uvedenú podmienku účasti preukáže uchádzač v súlade s § 32 ods. 2 písm. d) zákona doloženým potvrdením príslušného súdu nie starším ako tri mesiace.</w:t>
      </w:r>
    </w:p>
    <w:p w14:paraId="40BE1EF7" w14:textId="77777777" w:rsidR="00A75414" w:rsidRPr="00755471" w:rsidRDefault="00A75414" w:rsidP="00A75414">
      <w:pPr>
        <w:pStyle w:val="Odsekzoznamu"/>
        <w:ind w:left="681"/>
        <w:jc w:val="both"/>
        <w:rPr>
          <w:rFonts w:ascii="Arial Narrow" w:eastAsia="Arial" w:hAnsi="Arial Narrow"/>
        </w:rPr>
      </w:pPr>
    </w:p>
    <w:p w14:paraId="58B6B3C2"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741B04FF" w14:textId="77777777" w:rsidR="000D7D1C" w:rsidRPr="00755471" w:rsidRDefault="000D7D1C" w:rsidP="000D7D1C">
      <w:pPr>
        <w:pStyle w:val="Odsekzoznamu"/>
        <w:spacing w:after="200" w:line="276" w:lineRule="auto"/>
        <w:ind w:left="681"/>
        <w:jc w:val="both"/>
        <w:rPr>
          <w:rFonts w:ascii="Arial Narrow" w:eastAsia="Arial" w:hAnsi="Arial Narrow"/>
        </w:rPr>
      </w:pPr>
    </w:p>
    <w:p w14:paraId="4B9B9D94"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00CC3473"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2BF902D2" w14:textId="77777777" w:rsidR="00A75414" w:rsidRPr="00AA4FC2" w:rsidRDefault="00A75414" w:rsidP="00AA4FC2">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0AEDF3C8" w14:textId="77777777" w:rsidR="00A75414" w:rsidRPr="00755471" w:rsidRDefault="00A75414" w:rsidP="00AA4FC2">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ADE9B0"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5BEB0151"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619E6E58"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15FC11B8" w14:textId="77777777" w:rsidR="007C6CD3" w:rsidRDefault="00A75414" w:rsidP="00AA4FC2">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r>
      <w:r w:rsidR="007C6CD3" w:rsidRPr="000D7D1C">
        <w:rPr>
          <w:rFonts w:ascii="Arial Narrow" w:hAnsi="Arial Narrow" w:cs="Tahoma"/>
        </w:rPr>
        <w:t>potvrdenie príslušného súdu (konkurz,</w:t>
      </w:r>
      <w:r w:rsidR="007C6CD3" w:rsidRPr="000D7D1C">
        <w:t xml:space="preserve"> </w:t>
      </w:r>
      <w:r w:rsidR="007C6CD3" w:rsidRPr="000D7D1C">
        <w:rPr>
          <w:rFonts w:ascii="Arial Narrow" w:hAnsi="Arial Narrow" w:cs="Tahoma"/>
        </w:rPr>
        <w:t>reštrukturalizácia</w:t>
      </w:r>
      <w:r w:rsidR="00A355A9">
        <w:rPr>
          <w:rFonts w:ascii="Arial Narrow" w:hAnsi="Arial Narrow" w:cs="Tahoma"/>
        </w:rPr>
        <w:t>, likvidácia</w:t>
      </w:r>
      <w:r w:rsidR="007C6CD3" w:rsidRPr="000D7D1C">
        <w:rPr>
          <w:rFonts w:ascii="Arial Narrow" w:hAnsi="Arial Narrow" w:cs="Tahoma"/>
        </w:rPr>
        <w:t>) podľa § 32 ods. 1 písm. d) a ods. 2 písm. d) zákona,</w:t>
      </w:r>
    </w:p>
    <w:p w14:paraId="02407AF7" w14:textId="77777777" w:rsidR="00203091" w:rsidRPr="007C6CD3" w:rsidRDefault="007C6CD3" w:rsidP="007C6CD3">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00A75414"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sidR="004A1FFD">
        <w:rPr>
          <w:rFonts w:ascii="Arial Narrow" w:hAnsi="Arial Narrow" w:cs="Tahoma"/>
        </w:rPr>
        <w:t xml:space="preserve"> e) zákona týmito typmi dokladu</w:t>
      </w:r>
      <w:r w:rsidR="000D7D1C">
        <w:rPr>
          <w:rFonts w:ascii="Arial Narrow" w:hAnsi="Arial Narrow" w:cs="Tahoma"/>
        </w:rPr>
        <w:t>.</w:t>
      </w:r>
    </w:p>
    <w:p w14:paraId="7EBA1544" w14:textId="77777777" w:rsidR="00D9300B" w:rsidRPr="00F76CDC" w:rsidRDefault="00D9300B" w:rsidP="00D9300B">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43CED31B" w14:textId="77777777" w:rsidR="00A75414" w:rsidRDefault="00A75414" w:rsidP="009065DC">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708597E2" w14:textId="77777777" w:rsidR="00A75414" w:rsidRPr="00755471" w:rsidRDefault="00A75414" w:rsidP="000D7D1C">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5020BA94"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2A294D0" w14:textId="77777777" w:rsidR="00A75414" w:rsidRPr="00755471" w:rsidRDefault="00A75414" w:rsidP="00A75414">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0233A943"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12F11D93"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470846A7"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238B52A1"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32EDBBC9"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6549EAEE" w14:textId="77777777" w:rsidR="00090800" w:rsidRPr="00090800" w:rsidRDefault="00090800" w:rsidP="00090800">
      <w:pPr>
        <w:spacing w:after="0" w:line="240" w:lineRule="auto"/>
        <w:jc w:val="both"/>
        <w:rPr>
          <w:rFonts w:ascii="Arial Narrow" w:hAnsi="Arial Narrow"/>
        </w:rPr>
      </w:pPr>
      <w:r w:rsidRPr="00090800">
        <w:rPr>
          <w:rFonts w:ascii="Arial Narrow" w:hAnsi="Arial Narrow"/>
        </w:rPr>
        <w:t xml:space="preserve">Podmienky účasti uchádzačov vo verejnom obstarávaní týkajúce sa finančného a ekonomického postavenia podľa      § 33 zákona. </w:t>
      </w:r>
    </w:p>
    <w:p w14:paraId="5FC68F4A" w14:textId="77777777" w:rsidR="00090800" w:rsidRDefault="00090800" w:rsidP="00090800">
      <w:pPr>
        <w:spacing w:after="0" w:line="240" w:lineRule="auto"/>
        <w:jc w:val="both"/>
        <w:rPr>
          <w:rFonts w:ascii="Arial Narrow" w:hAnsi="Arial Narrow"/>
        </w:rPr>
      </w:pPr>
    </w:p>
    <w:p w14:paraId="5F73FA20" w14:textId="77777777" w:rsidR="00090800" w:rsidRPr="00090800" w:rsidRDefault="00090800" w:rsidP="00090800">
      <w:pPr>
        <w:spacing w:after="0" w:line="240" w:lineRule="auto"/>
        <w:jc w:val="both"/>
        <w:rPr>
          <w:rFonts w:ascii="Arial Narrow" w:hAnsi="Arial Narrow"/>
        </w:rPr>
      </w:pPr>
      <w:r w:rsidRPr="00090800">
        <w:rPr>
          <w:rFonts w:ascii="Arial Narrow" w:hAnsi="Arial Narrow"/>
        </w:rPr>
        <w:t>Neaplikuje sa.</w:t>
      </w:r>
    </w:p>
    <w:p w14:paraId="7F4F7B35" w14:textId="77777777" w:rsidR="00E9222B" w:rsidRDefault="00E9222B" w:rsidP="00E9222B">
      <w:pPr>
        <w:spacing w:after="0" w:line="240" w:lineRule="auto"/>
        <w:jc w:val="both"/>
        <w:rPr>
          <w:rFonts w:ascii="Arial Narrow" w:hAnsi="Arial Narrow"/>
        </w:rPr>
      </w:pPr>
    </w:p>
    <w:p w14:paraId="27369B70" w14:textId="77777777" w:rsidR="000D7D1C" w:rsidRDefault="00E9222B" w:rsidP="000D7D1C">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74F5E2D6" w14:textId="77777777" w:rsidR="008B538F" w:rsidRPr="008B538F" w:rsidRDefault="008B538F" w:rsidP="008B538F">
      <w:pPr>
        <w:pStyle w:val="Odsekzoznamu"/>
        <w:spacing w:after="0" w:line="240" w:lineRule="auto"/>
        <w:ind w:left="0"/>
        <w:contextualSpacing w:val="0"/>
        <w:rPr>
          <w:rFonts w:ascii="Arial Narrow" w:hAnsi="Arial Narrow"/>
          <w:b/>
          <w:lang w:eastAsia="sk-SK"/>
        </w:rPr>
      </w:pPr>
    </w:p>
    <w:p w14:paraId="180C3311" w14:textId="77777777" w:rsidR="006F40AB" w:rsidRPr="00B0398D" w:rsidRDefault="006F40AB" w:rsidP="006F40AB">
      <w:pPr>
        <w:spacing w:after="0" w:line="240" w:lineRule="auto"/>
        <w:jc w:val="both"/>
        <w:rPr>
          <w:rFonts w:ascii="Arial Narrow" w:hAnsi="Arial Narrow"/>
          <w:b/>
          <w:u w:val="single"/>
        </w:rPr>
      </w:pPr>
      <w:r>
        <w:rPr>
          <w:rFonts w:ascii="Arial Narrow" w:hAnsi="Arial Narrow"/>
          <w:b/>
        </w:rPr>
        <w:t>3.1.</w:t>
      </w:r>
      <w:r>
        <w:rPr>
          <w:rFonts w:ascii="Arial Narrow" w:hAnsi="Arial Narrow"/>
          <w:b/>
        </w:rPr>
        <w:tab/>
      </w:r>
      <w:r w:rsidRPr="00B0398D">
        <w:rPr>
          <w:rFonts w:ascii="Arial Narrow" w:hAnsi="Arial Narrow"/>
          <w:b/>
          <w:u w:val="single"/>
        </w:rPr>
        <w:t xml:space="preserve">§ 34 ods. 1 písm. a) zákona pre Časť č. 1 - </w:t>
      </w:r>
      <w:r w:rsidRPr="00B0398D">
        <w:rPr>
          <w:rStyle w:val="Siln"/>
          <w:rFonts w:ascii="Arial Narrow" w:hAnsi="Arial Narrow"/>
          <w:color w:val="000000"/>
          <w:sz w:val="24"/>
          <w:szCs w:val="24"/>
          <w:u w:val="single"/>
          <w:lang w:eastAsia="sk-SK"/>
        </w:rPr>
        <w:t>Zostava s trinokulárnym stereoskopickým</w:t>
      </w:r>
      <w:r>
        <w:rPr>
          <w:rStyle w:val="Siln"/>
          <w:rFonts w:ascii="Arial Narrow" w:hAnsi="Arial Narrow"/>
          <w:color w:val="000000"/>
          <w:sz w:val="24"/>
          <w:szCs w:val="24"/>
          <w:u w:val="single"/>
          <w:lang w:eastAsia="sk-SK"/>
        </w:rPr>
        <w:t xml:space="preserve"> mikroskopom s príslušenstvom</w:t>
      </w:r>
      <w:r w:rsidRPr="00B0398D">
        <w:rPr>
          <w:rStyle w:val="Siln"/>
          <w:rFonts w:ascii="Arial Narrow" w:hAnsi="Arial Narrow"/>
          <w:color w:val="000000"/>
          <w:sz w:val="24"/>
          <w:szCs w:val="24"/>
          <w:u w:val="single"/>
          <w:lang w:eastAsia="sk-SK"/>
        </w:rPr>
        <w:t>.</w:t>
      </w:r>
    </w:p>
    <w:p w14:paraId="270FC874" w14:textId="77777777" w:rsidR="006F40AB" w:rsidRPr="00B0398D" w:rsidRDefault="006F40AB" w:rsidP="006F40AB">
      <w:pPr>
        <w:spacing w:after="0" w:line="240" w:lineRule="auto"/>
        <w:jc w:val="both"/>
        <w:rPr>
          <w:rFonts w:ascii="Arial Narrow" w:hAnsi="Arial Narrow"/>
          <w:b/>
          <w:u w:val="single"/>
          <w:lang w:eastAsia="sk-SK"/>
        </w:rPr>
      </w:pPr>
    </w:p>
    <w:p w14:paraId="2389C33D" w14:textId="464E2E80" w:rsidR="006F40AB" w:rsidRDefault="006F40AB" w:rsidP="006F40AB">
      <w:pPr>
        <w:spacing w:after="0" w:line="240" w:lineRule="auto"/>
        <w:jc w:val="both"/>
        <w:rPr>
          <w:rFonts w:ascii="Arial Narrow" w:hAnsi="Arial Narrow"/>
          <w:bCs/>
        </w:rPr>
      </w:pPr>
      <w:r w:rsidRPr="00EB30FE">
        <w:rPr>
          <w:rFonts w:ascii="Arial Narrow" w:hAnsi="Arial Narrow"/>
          <w:bCs/>
        </w:rPr>
        <w:t>Uchádzač predloží zoznam dodáv</w:t>
      </w:r>
      <w:r>
        <w:rPr>
          <w:rFonts w:ascii="Arial Narrow" w:hAnsi="Arial Narrow"/>
          <w:bCs/>
        </w:rPr>
        <w:t>ok tovaru</w:t>
      </w:r>
      <w:r w:rsidRPr="00EB30FE">
        <w:rPr>
          <w:rFonts w:ascii="Arial Narrow" w:hAnsi="Arial Narrow"/>
          <w:bCs/>
        </w:rPr>
        <w:t xml:space="preserve"> za </w:t>
      </w:r>
      <w:r w:rsidR="004779E1">
        <w:rPr>
          <w:rFonts w:ascii="Arial Narrow" w:hAnsi="Arial Narrow"/>
          <w:bCs/>
        </w:rPr>
        <w:t>predchádzajúcich desať rokov (120 mesiacov)</w:t>
      </w:r>
      <w:r w:rsidRPr="00EB30FE">
        <w:rPr>
          <w:rFonts w:ascii="Arial Narrow" w:hAnsi="Arial Narrow"/>
          <w:bCs/>
        </w:rPr>
        <w:t xml:space="preserve"> od vyhlásenia verejného obstarávania </w:t>
      </w:r>
      <w:r w:rsidRPr="00EB30FE">
        <w:rPr>
          <w:rFonts w:ascii="Arial Narrow" w:hAnsi="Arial Narrow"/>
        </w:rPr>
        <w:t xml:space="preserve">(za vyhlásenie verejného obstarávania sa považuje zverejnenie oznámenia o vyhlásení verejného obstarávania v Úradnom vestníku EÚ (ďalej len „rozhodné obdobie") </w:t>
      </w:r>
      <w:r w:rsidRPr="00EB30FE">
        <w:rPr>
          <w:rFonts w:ascii="Arial Narrow" w:hAnsi="Arial Narrow"/>
          <w:bCs/>
        </w:rPr>
        <w:t xml:space="preserve"> s uvedením cien, lehôt dodania a odberateľov; dokladom je referencia, ak odberateľom bol verejný obstarávateľ alebo obstarávateľ podľa tohto zákona.</w:t>
      </w:r>
      <w:r w:rsidRPr="00EB30FE">
        <w:rPr>
          <w:rFonts w:ascii="Arial Narrow" w:hAnsi="Arial Narrow"/>
          <w:bCs/>
        </w:rPr>
        <w:tab/>
      </w:r>
    </w:p>
    <w:p w14:paraId="7713BE5E" w14:textId="77777777" w:rsidR="00555656" w:rsidRDefault="00555656" w:rsidP="006F40AB">
      <w:pPr>
        <w:spacing w:after="0" w:line="240" w:lineRule="auto"/>
        <w:jc w:val="both"/>
        <w:rPr>
          <w:rFonts w:ascii="Arial Narrow" w:hAnsi="Arial Narrow"/>
          <w:bCs/>
        </w:rPr>
      </w:pPr>
    </w:p>
    <w:p w14:paraId="4B7B19BA" w14:textId="77777777" w:rsidR="00555656" w:rsidRDefault="00555656" w:rsidP="006F40AB">
      <w:pPr>
        <w:spacing w:after="0" w:line="240" w:lineRule="auto"/>
        <w:jc w:val="both"/>
        <w:rPr>
          <w:rFonts w:ascii="Arial Narrow" w:hAnsi="Arial Narrow"/>
          <w:bCs/>
        </w:rPr>
      </w:pPr>
    </w:p>
    <w:p w14:paraId="4C96DEE5" w14:textId="2B859600" w:rsidR="00555656" w:rsidRPr="00A823C1" w:rsidRDefault="00555656" w:rsidP="00555656">
      <w:pPr>
        <w:spacing w:after="0" w:line="240" w:lineRule="auto"/>
        <w:jc w:val="both"/>
        <w:rPr>
          <w:rFonts w:ascii="Arial Narrow" w:hAnsi="Arial Narrow"/>
          <w:color w:val="000000"/>
        </w:rPr>
      </w:pPr>
      <w:r w:rsidRPr="0032737C">
        <w:rPr>
          <w:rFonts w:ascii="Arial Narrow" w:hAnsi="Arial Narrow"/>
          <w:color w:val="000000"/>
        </w:rPr>
        <w:t>Verejný obstarávateľ pre rozšírenie hospodárskej súťaže pr</w:t>
      </w:r>
      <w:r>
        <w:rPr>
          <w:rFonts w:ascii="Arial Narrow" w:hAnsi="Arial Narrow"/>
          <w:color w:val="000000"/>
        </w:rPr>
        <w:t>edĺžil rozhodné obdobie z 3 na 10</w:t>
      </w:r>
      <w:r w:rsidRPr="0032737C">
        <w:rPr>
          <w:rFonts w:ascii="Arial Narrow" w:hAnsi="Arial Narrow"/>
          <w:color w:val="000000"/>
        </w:rPr>
        <w:t xml:space="preserve"> rokov</w:t>
      </w:r>
      <w:r w:rsidRPr="00FD38EC">
        <w:rPr>
          <w:rFonts w:ascii="Arial Narrow" w:hAnsi="Arial Narrow"/>
          <w:color w:val="000000"/>
        </w:rPr>
        <w:t xml:space="preserve"> v súlade </w:t>
      </w:r>
      <w:r>
        <w:rPr>
          <w:rFonts w:ascii="Arial Narrow" w:hAnsi="Arial Narrow"/>
          <w:color w:val="000000"/>
        </w:rPr>
        <w:br/>
      </w:r>
      <w:r w:rsidRPr="00D65FE9">
        <w:rPr>
          <w:rFonts w:ascii="Arial Narrow" w:hAnsi="Arial Narrow"/>
          <w:color w:val="000000" w:themeColor="text1"/>
        </w:rPr>
        <w:t xml:space="preserve">s § 34 ods. 2 zákona. </w:t>
      </w:r>
      <w:r w:rsidR="007B61F1" w:rsidRPr="00D65FE9" w:rsidDel="007B61F1">
        <w:rPr>
          <w:rFonts w:ascii="Arial Narrow" w:hAnsi="Arial Narrow"/>
          <w:color w:val="000000" w:themeColor="text1"/>
        </w:rPr>
        <w:t xml:space="preserve"> </w:t>
      </w:r>
    </w:p>
    <w:p w14:paraId="52F1C75D" w14:textId="77777777" w:rsidR="00555656" w:rsidRDefault="00555656" w:rsidP="006F40AB">
      <w:pPr>
        <w:spacing w:after="0" w:line="240" w:lineRule="auto"/>
        <w:jc w:val="both"/>
        <w:rPr>
          <w:rFonts w:ascii="Arial Narrow" w:hAnsi="Arial Narrow"/>
          <w:bCs/>
        </w:rPr>
      </w:pPr>
    </w:p>
    <w:p w14:paraId="207A2243" w14:textId="77777777" w:rsidR="006F40AB" w:rsidRPr="00EB30FE" w:rsidRDefault="006F40AB" w:rsidP="006F40AB">
      <w:pPr>
        <w:pBdr>
          <w:top w:val="nil"/>
          <w:left w:val="nil"/>
          <w:bottom w:val="nil"/>
          <w:right w:val="nil"/>
          <w:between w:val="nil"/>
          <w:bar w:val="nil"/>
        </w:pBdr>
        <w:spacing w:after="0" w:line="240" w:lineRule="auto"/>
        <w:jc w:val="both"/>
        <w:rPr>
          <w:rFonts w:ascii="Arial Narrow" w:eastAsia="Arial Unicode MS" w:hAnsi="Arial Narrow"/>
          <w:bdr w:val="nil"/>
        </w:rPr>
      </w:pPr>
    </w:p>
    <w:p w14:paraId="08813843" w14:textId="77777777" w:rsidR="006F40AB" w:rsidRPr="00EB30FE" w:rsidRDefault="006F40AB" w:rsidP="006F40AB">
      <w:pPr>
        <w:spacing w:after="120" w:line="276" w:lineRule="auto"/>
        <w:jc w:val="both"/>
        <w:rPr>
          <w:rFonts w:ascii="Arial Narrow" w:hAnsi="Arial Narrow"/>
        </w:rPr>
      </w:pPr>
      <w:r w:rsidRPr="00EB30FE">
        <w:rPr>
          <w:rFonts w:ascii="Arial Narrow" w:hAnsi="Arial Narrow"/>
        </w:rPr>
        <w:t xml:space="preserve">       V zozname realizovaných dodávok tovaru uchádzač uvedie:</w:t>
      </w:r>
    </w:p>
    <w:p w14:paraId="60582699"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a)</w:t>
      </w:r>
      <w:r w:rsidRPr="00EB30FE">
        <w:rPr>
          <w:rFonts w:ascii="Arial Narrow" w:hAnsi="Arial Narrow"/>
        </w:rPr>
        <w:tab/>
        <w:t>názov/obchodné meno, sídlo/miesto podnikania odberateľa,</w:t>
      </w:r>
    </w:p>
    <w:p w14:paraId="30CDA7A1"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b)</w:t>
      </w:r>
      <w:r w:rsidRPr="00EB30FE">
        <w:rPr>
          <w:rFonts w:ascii="Arial Narrow" w:hAnsi="Arial Narrow"/>
        </w:rPr>
        <w:tab/>
        <w:t>predmet zmluvy/plnenia (stručný opis predmetu plnenia),</w:t>
      </w:r>
    </w:p>
    <w:p w14:paraId="5CA4A27B"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c)</w:t>
      </w:r>
      <w:r w:rsidRPr="00EB30FE">
        <w:rPr>
          <w:rFonts w:ascii="Arial Narrow" w:hAnsi="Arial Narrow"/>
        </w:rPr>
        <w:tab/>
        <w:t>hodnotu tovaru v EUR bez DPH/ EUR s DPH,</w:t>
      </w:r>
    </w:p>
    <w:p w14:paraId="32FA1E1A"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d)</w:t>
      </w:r>
      <w:r w:rsidRPr="00EB30FE">
        <w:rPr>
          <w:rFonts w:ascii="Arial Narrow" w:hAnsi="Arial Narrow"/>
        </w:rPr>
        <w:tab/>
        <w:t>skutočnú lehotu dodania.</w:t>
      </w:r>
    </w:p>
    <w:p w14:paraId="4061A7FB" w14:textId="77777777" w:rsidR="006F40AB" w:rsidRPr="00EB30FE" w:rsidRDefault="006F40AB" w:rsidP="006F40AB">
      <w:pPr>
        <w:pStyle w:val="Odsekzoznamu"/>
        <w:spacing w:after="120" w:line="276" w:lineRule="auto"/>
        <w:ind w:left="405"/>
        <w:jc w:val="both"/>
        <w:rPr>
          <w:rFonts w:ascii="Arial Narrow" w:hAnsi="Arial Narrow"/>
          <w:highlight w:val="yellow"/>
        </w:rPr>
      </w:pPr>
    </w:p>
    <w:p w14:paraId="7D762E88"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Uchádzač musí preukázať, že za rozhodné obdobie realizoval dodávky tovaru rovnakého alebo obdobného charakteru ako je predmet zákazky v súhrnnej hodnote 50 000,00 Eur</w:t>
      </w:r>
      <w:r w:rsidRPr="00EB30FE">
        <w:rPr>
          <w:rFonts w:ascii="Arial Narrow" w:hAnsi="Arial Narrow"/>
        </w:rPr>
        <w:br/>
        <w:t xml:space="preserve">bez DPH. </w:t>
      </w:r>
    </w:p>
    <w:p w14:paraId="39E41C41" w14:textId="77777777" w:rsidR="006F40AB" w:rsidRDefault="006F40AB" w:rsidP="006F40AB">
      <w:pPr>
        <w:pStyle w:val="Odsekzoznamu"/>
        <w:spacing w:after="120" w:line="276" w:lineRule="auto"/>
        <w:ind w:left="405"/>
        <w:jc w:val="both"/>
        <w:rPr>
          <w:rFonts w:ascii="Arial Narrow" w:hAnsi="Arial Narrow"/>
        </w:rPr>
      </w:pPr>
      <w:r w:rsidRPr="00EB30FE">
        <w:rPr>
          <w:rFonts w:ascii="Arial Narrow" w:hAnsi="Arial Narrow"/>
        </w:rPr>
        <w:t>Za rovnaký alebo obdobný charakter dodávky verejný obstarávateľ považuje napr. laboratórne vybavenie, senzory, meracie systémy, laserové zariadenia, laboratórne mikroskopy.</w:t>
      </w:r>
    </w:p>
    <w:p w14:paraId="7F1CC566" w14:textId="77777777" w:rsidR="00555656" w:rsidRDefault="00555656" w:rsidP="006F40AB">
      <w:pPr>
        <w:pStyle w:val="Odsekzoznamu"/>
        <w:spacing w:after="120" w:line="276" w:lineRule="auto"/>
        <w:ind w:left="405"/>
        <w:jc w:val="both"/>
        <w:rPr>
          <w:rFonts w:ascii="Arial Narrow" w:hAnsi="Arial Narrow"/>
        </w:rPr>
      </w:pPr>
    </w:p>
    <w:p w14:paraId="0DCDC774" w14:textId="77777777" w:rsidR="00555656" w:rsidRDefault="00555656" w:rsidP="00555656">
      <w:pPr>
        <w:spacing w:after="0" w:line="240" w:lineRule="auto"/>
        <w:jc w:val="both"/>
        <w:rPr>
          <w:rFonts w:ascii="Arial Narrow" w:hAnsi="Arial Narrow" w:cs="Arial"/>
        </w:rPr>
      </w:pPr>
      <w:r w:rsidRPr="000B38D1">
        <w:rPr>
          <w:rFonts w:ascii="Arial Narrow" w:hAnsi="Arial Narrow" w:cs="Arial"/>
        </w:rPr>
        <w:t>Pri prepočte inej meny na menu euro sa použije kurz</w:t>
      </w:r>
      <w:r w:rsidRPr="00B36E2B">
        <w:rPr>
          <w:rFonts w:ascii="Arial Narrow" w:hAnsi="Arial Narrow" w:cs="Arial"/>
        </w:rPr>
        <w:t xml:space="preserve"> Európskej</w:t>
      </w:r>
      <w:r>
        <w:rPr>
          <w:rFonts w:ascii="Arial Narrow" w:hAnsi="Arial Narrow" w:cs="Arial"/>
        </w:rPr>
        <w:t xml:space="preserve"> </w:t>
      </w:r>
      <w:r w:rsidRPr="00B36E2B">
        <w:rPr>
          <w:rFonts w:ascii="Arial Narrow" w:hAnsi="Arial Narrow" w:cs="Arial"/>
        </w:rPr>
        <w:t>centrálnej banky platný v deň odoslania oznámenia o vyhlásení verejného obstarávania na predmetnú verejnú súťaž na</w:t>
      </w:r>
      <w:r>
        <w:rPr>
          <w:rFonts w:ascii="Arial Narrow" w:hAnsi="Arial Narrow" w:cs="Arial"/>
        </w:rPr>
        <w:t xml:space="preserve"> </w:t>
      </w:r>
      <w:r w:rsidRPr="00B36E2B">
        <w:rPr>
          <w:rFonts w:ascii="Arial Narrow" w:hAnsi="Arial Narrow" w:cs="Arial"/>
        </w:rPr>
        <w:t>zverejnenie v Úradnom vestníku EÚ.</w:t>
      </w:r>
    </w:p>
    <w:p w14:paraId="2A69681C" w14:textId="77777777" w:rsidR="00555656" w:rsidRDefault="00555656" w:rsidP="00555656">
      <w:pPr>
        <w:spacing w:after="120" w:line="276" w:lineRule="auto"/>
        <w:jc w:val="both"/>
        <w:rPr>
          <w:rFonts w:ascii="Arial Narrow" w:hAnsi="Arial Narrow"/>
        </w:rPr>
      </w:pPr>
    </w:p>
    <w:p w14:paraId="28CBD224" w14:textId="77777777" w:rsidR="00555656" w:rsidRDefault="00555656" w:rsidP="00555656">
      <w:pPr>
        <w:spacing w:after="0" w:line="240" w:lineRule="auto"/>
        <w:jc w:val="both"/>
        <w:rPr>
          <w:rFonts w:ascii="Arial Narrow" w:hAnsi="Arial Narrow"/>
        </w:rPr>
      </w:pPr>
      <w:r w:rsidRPr="00B36E2B">
        <w:rPr>
          <w:rFonts w:ascii="Arial Narrow" w:hAnsi="Arial Narrow"/>
        </w:rPr>
        <w:t>V prípade dodaného tovaru</w:t>
      </w:r>
      <w:r w:rsidRPr="002462F7">
        <w:rPr>
          <w:rFonts w:ascii="Arial Narrow" w:hAnsi="Arial Narrow"/>
        </w:rPr>
        <w:t>,</w:t>
      </w:r>
      <w:r w:rsidRPr="00B36E2B">
        <w:rPr>
          <w:rFonts w:ascii="Arial Narrow" w:hAnsi="Arial Narrow"/>
        </w:rPr>
        <w:t xml:space="preserve"> ktorého začiatok alebo koniec nespadá do rozhodného obdobia, bude uchádzačovi</w:t>
      </w:r>
      <w:r>
        <w:rPr>
          <w:rFonts w:ascii="Arial Narrow" w:hAnsi="Arial Narrow"/>
        </w:rPr>
        <w:t xml:space="preserve"> </w:t>
      </w:r>
      <w:r w:rsidRPr="00B36E2B">
        <w:rPr>
          <w:rFonts w:ascii="Arial Narrow" w:hAnsi="Arial Narrow"/>
        </w:rPr>
        <w:t>započítaná pre splnenie podmienky len výška nákladov dodaného tovaru spadajúceho do rozhodného obdobia.</w:t>
      </w:r>
    </w:p>
    <w:p w14:paraId="2E496BFF" w14:textId="77777777" w:rsidR="00555656" w:rsidRDefault="00555656" w:rsidP="00555656">
      <w:pPr>
        <w:spacing w:after="120" w:line="276" w:lineRule="auto"/>
        <w:jc w:val="both"/>
        <w:rPr>
          <w:rFonts w:ascii="Arial Narrow" w:hAnsi="Arial Narrow"/>
        </w:rPr>
      </w:pPr>
    </w:p>
    <w:p w14:paraId="51C0E2F6" w14:textId="77777777" w:rsidR="003A60A4" w:rsidRDefault="003A60A4" w:rsidP="00555656">
      <w:pPr>
        <w:spacing w:after="120" w:line="276" w:lineRule="auto"/>
        <w:jc w:val="both"/>
        <w:rPr>
          <w:rFonts w:ascii="Arial Narrow" w:hAnsi="Arial Narrow"/>
        </w:rPr>
      </w:pPr>
    </w:p>
    <w:p w14:paraId="6FCFE296" w14:textId="77777777" w:rsidR="003A60A4" w:rsidRDefault="003A60A4" w:rsidP="00555656">
      <w:pPr>
        <w:spacing w:after="120" w:line="276" w:lineRule="auto"/>
        <w:jc w:val="both"/>
        <w:rPr>
          <w:rFonts w:ascii="Arial Narrow" w:hAnsi="Arial Narrow"/>
        </w:rPr>
      </w:pPr>
    </w:p>
    <w:p w14:paraId="153491ED" w14:textId="77777777" w:rsidR="003A60A4" w:rsidRDefault="003A60A4" w:rsidP="00555656">
      <w:pPr>
        <w:spacing w:after="120" w:line="276" w:lineRule="auto"/>
        <w:jc w:val="both"/>
        <w:rPr>
          <w:rFonts w:ascii="Arial Narrow" w:hAnsi="Arial Narrow"/>
        </w:rPr>
      </w:pPr>
    </w:p>
    <w:p w14:paraId="1CCEE746" w14:textId="77777777" w:rsidR="003A60A4" w:rsidRPr="00555656" w:rsidRDefault="003A60A4" w:rsidP="00555656">
      <w:pPr>
        <w:spacing w:after="120" w:line="276" w:lineRule="auto"/>
        <w:jc w:val="both"/>
        <w:rPr>
          <w:rFonts w:ascii="Arial Narrow" w:hAnsi="Arial Narrow"/>
        </w:rPr>
      </w:pPr>
    </w:p>
    <w:p w14:paraId="488B286B" w14:textId="77777777" w:rsidR="006F40AB" w:rsidRDefault="006F40AB" w:rsidP="006F40AB">
      <w:pPr>
        <w:pStyle w:val="Odsekzoznamu"/>
        <w:spacing w:after="120" w:line="276" w:lineRule="auto"/>
        <w:ind w:left="405"/>
        <w:jc w:val="both"/>
        <w:rPr>
          <w:rFonts w:ascii="Arial Narrow" w:hAnsi="Arial Narrow"/>
        </w:rPr>
      </w:pPr>
    </w:p>
    <w:p w14:paraId="1D9A6F5C" w14:textId="77777777" w:rsidR="006F40AB" w:rsidRPr="00B0398D" w:rsidRDefault="006F40AB" w:rsidP="006F40AB">
      <w:pPr>
        <w:spacing w:after="0" w:line="240" w:lineRule="auto"/>
        <w:jc w:val="both"/>
        <w:rPr>
          <w:rFonts w:ascii="Arial Narrow" w:hAnsi="Arial Narrow"/>
          <w:b/>
        </w:rPr>
      </w:pPr>
      <w:r w:rsidRPr="00B0398D">
        <w:rPr>
          <w:rFonts w:ascii="Arial Narrow" w:hAnsi="Arial Narrow"/>
          <w:b/>
        </w:rPr>
        <w:lastRenderedPageBreak/>
        <w:t>3.2.</w:t>
      </w:r>
      <w:r w:rsidRPr="00B0398D">
        <w:rPr>
          <w:rFonts w:ascii="Arial Narrow" w:hAnsi="Arial Narrow"/>
          <w:b/>
        </w:rPr>
        <w:tab/>
      </w:r>
      <w:r w:rsidRPr="00B0398D">
        <w:rPr>
          <w:rFonts w:ascii="Arial Narrow" w:hAnsi="Arial Narrow"/>
          <w:b/>
          <w:u w:val="single"/>
        </w:rPr>
        <w:t xml:space="preserve">§ 34 ods. 1 písm. a) zákona pre Časť č. 2 - </w:t>
      </w:r>
      <w:r w:rsidRPr="00B0398D">
        <w:rPr>
          <w:rStyle w:val="Siln"/>
          <w:rFonts w:ascii="Arial Narrow" w:hAnsi="Arial Narrow"/>
          <w:color w:val="000000"/>
          <w:u w:val="single"/>
        </w:rPr>
        <w:t>Digitálny mikroskop s laserovým skenovaním povrchu</w:t>
      </w:r>
      <w:r>
        <w:rPr>
          <w:rStyle w:val="Siln"/>
          <w:rFonts w:ascii="Arial Narrow" w:hAnsi="Arial Narrow"/>
          <w:color w:val="000000"/>
          <w:u w:val="single"/>
        </w:rPr>
        <w:t xml:space="preserve"> s príslušenstvom</w:t>
      </w:r>
      <w:r w:rsidRPr="00B0398D">
        <w:rPr>
          <w:rStyle w:val="Siln"/>
          <w:rFonts w:ascii="Arial Narrow" w:hAnsi="Arial Narrow"/>
          <w:color w:val="000000"/>
          <w:u w:val="single"/>
        </w:rPr>
        <w:t>.</w:t>
      </w:r>
    </w:p>
    <w:p w14:paraId="48AED1C5" w14:textId="77777777" w:rsidR="006F40AB" w:rsidRDefault="006F40AB" w:rsidP="006F40AB">
      <w:pPr>
        <w:spacing w:after="0" w:line="240" w:lineRule="auto"/>
        <w:jc w:val="both"/>
        <w:rPr>
          <w:rFonts w:ascii="Arial Narrow" w:hAnsi="Arial Narrow"/>
          <w:b/>
          <w:lang w:eastAsia="sk-SK"/>
        </w:rPr>
      </w:pPr>
    </w:p>
    <w:p w14:paraId="75B258FE" w14:textId="59F3FEB5" w:rsidR="006F40AB" w:rsidRDefault="006F40AB" w:rsidP="006F40AB">
      <w:pPr>
        <w:spacing w:after="0" w:line="240" w:lineRule="auto"/>
        <w:jc w:val="both"/>
        <w:rPr>
          <w:rFonts w:ascii="Arial Narrow" w:hAnsi="Arial Narrow"/>
          <w:bCs/>
        </w:rPr>
      </w:pPr>
      <w:r w:rsidRPr="00EB30FE">
        <w:rPr>
          <w:rFonts w:ascii="Arial Narrow" w:hAnsi="Arial Narrow"/>
          <w:bCs/>
        </w:rPr>
        <w:t>Uchádzač predloží zoznam dodáv</w:t>
      </w:r>
      <w:r>
        <w:rPr>
          <w:rFonts w:ascii="Arial Narrow" w:hAnsi="Arial Narrow"/>
          <w:bCs/>
        </w:rPr>
        <w:t>ok tovaru</w:t>
      </w:r>
      <w:r w:rsidRPr="00EB30FE">
        <w:rPr>
          <w:rFonts w:ascii="Arial Narrow" w:hAnsi="Arial Narrow"/>
          <w:bCs/>
        </w:rPr>
        <w:t xml:space="preserve"> za </w:t>
      </w:r>
      <w:r w:rsidR="004779E1">
        <w:rPr>
          <w:rFonts w:ascii="Arial Narrow" w:hAnsi="Arial Narrow"/>
          <w:bCs/>
        </w:rPr>
        <w:t>predchádzajúcich desať rokov (120 mesiacov)</w:t>
      </w:r>
      <w:r w:rsidR="004779E1" w:rsidRPr="00EB30FE">
        <w:rPr>
          <w:rFonts w:ascii="Arial Narrow" w:hAnsi="Arial Narrow"/>
          <w:bCs/>
        </w:rPr>
        <w:t xml:space="preserve"> </w:t>
      </w:r>
      <w:r w:rsidRPr="00EB30FE">
        <w:rPr>
          <w:rFonts w:ascii="Arial Narrow" w:hAnsi="Arial Narrow"/>
          <w:bCs/>
        </w:rPr>
        <w:t xml:space="preserve">od vyhlásenia verejného obstarávania </w:t>
      </w:r>
      <w:r w:rsidRPr="00EB30FE">
        <w:rPr>
          <w:rFonts w:ascii="Arial Narrow" w:hAnsi="Arial Narrow"/>
        </w:rPr>
        <w:t xml:space="preserve">(za vyhlásenie verejného obstarávania sa považuje zverejnenie oznámenia o vyhlásení verejného obstarávania v Úradnom vestníku EÚ (ďalej len „rozhodné obdobie") </w:t>
      </w:r>
      <w:r w:rsidRPr="00EB30FE">
        <w:rPr>
          <w:rFonts w:ascii="Arial Narrow" w:hAnsi="Arial Narrow"/>
          <w:bCs/>
        </w:rPr>
        <w:t xml:space="preserve"> s uvedením cien, lehôt dodania a odberateľov; dokladom je referencia, ak odberateľom bol verejný obstarávateľ alebo obstarávateľ podľa tohto zákona.</w:t>
      </w:r>
      <w:r w:rsidRPr="00EB30FE">
        <w:rPr>
          <w:rFonts w:ascii="Arial Narrow" w:hAnsi="Arial Narrow"/>
          <w:bCs/>
        </w:rPr>
        <w:tab/>
      </w:r>
    </w:p>
    <w:p w14:paraId="560CEDBA" w14:textId="77777777" w:rsidR="003A60A4" w:rsidRDefault="003A60A4" w:rsidP="006F40AB">
      <w:pPr>
        <w:spacing w:after="0" w:line="240" w:lineRule="auto"/>
        <w:jc w:val="both"/>
        <w:rPr>
          <w:rFonts w:ascii="Arial Narrow" w:hAnsi="Arial Narrow"/>
          <w:bCs/>
        </w:rPr>
      </w:pPr>
    </w:p>
    <w:p w14:paraId="4908D050" w14:textId="77777777" w:rsidR="003A60A4" w:rsidRDefault="003A60A4" w:rsidP="003A60A4">
      <w:pPr>
        <w:spacing w:after="0" w:line="240" w:lineRule="auto"/>
        <w:jc w:val="both"/>
        <w:rPr>
          <w:rFonts w:ascii="Arial Narrow" w:hAnsi="Arial Narrow"/>
          <w:bCs/>
        </w:rPr>
      </w:pPr>
    </w:p>
    <w:p w14:paraId="722C5B6F" w14:textId="1DA68669" w:rsidR="003A60A4" w:rsidRPr="00A823C1" w:rsidRDefault="003A60A4" w:rsidP="003A60A4">
      <w:pPr>
        <w:spacing w:after="0" w:line="240" w:lineRule="auto"/>
        <w:jc w:val="both"/>
        <w:rPr>
          <w:rFonts w:ascii="Arial Narrow" w:hAnsi="Arial Narrow"/>
          <w:color w:val="000000"/>
        </w:rPr>
      </w:pPr>
      <w:r w:rsidRPr="0032737C">
        <w:rPr>
          <w:rFonts w:ascii="Arial Narrow" w:hAnsi="Arial Narrow"/>
          <w:color w:val="000000"/>
        </w:rPr>
        <w:t>Verejný obstarávateľ pre rozšírenie hospodárskej súťaže pr</w:t>
      </w:r>
      <w:r>
        <w:rPr>
          <w:rFonts w:ascii="Arial Narrow" w:hAnsi="Arial Narrow"/>
          <w:color w:val="000000"/>
        </w:rPr>
        <w:t>edĺžil rozhodné obdobie z 3 na 10</w:t>
      </w:r>
      <w:r w:rsidRPr="0032737C">
        <w:rPr>
          <w:rFonts w:ascii="Arial Narrow" w:hAnsi="Arial Narrow"/>
          <w:color w:val="000000"/>
        </w:rPr>
        <w:t xml:space="preserve"> rokov</w:t>
      </w:r>
      <w:r w:rsidRPr="00FD38EC">
        <w:rPr>
          <w:rFonts w:ascii="Arial Narrow" w:hAnsi="Arial Narrow"/>
          <w:color w:val="000000"/>
        </w:rPr>
        <w:t xml:space="preserve"> v súlade </w:t>
      </w:r>
      <w:r>
        <w:rPr>
          <w:rFonts w:ascii="Arial Narrow" w:hAnsi="Arial Narrow"/>
          <w:color w:val="000000"/>
        </w:rPr>
        <w:br/>
      </w:r>
      <w:r w:rsidRPr="00D65FE9">
        <w:rPr>
          <w:rFonts w:ascii="Arial Narrow" w:hAnsi="Arial Narrow"/>
          <w:color w:val="000000" w:themeColor="text1"/>
        </w:rPr>
        <w:t xml:space="preserve">s § 34 ods. 2 zákona. </w:t>
      </w:r>
    </w:p>
    <w:p w14:paraId="2ABCB161" w14:textId="77777777" w:rsidR="003A60A4" w:rsidRPr="00EB30FE" w:rsidRDefault="003A60A4" w:rsidP="006F40AB">
      <w:pPr>
        <w:spacing w:after="0" w:line="240" w:lineRule="auto"/>
        <w:jc w:val="both"/>
        <w:rPr>
          <w:rFonts w:ascii="Arial Narrow" w:hAnsi="Arial Narrow"/>
          <w:bCs/>
        </w:rPr>
      </w:pPr>
    </w:p>
    <w:p w14:paraId="23ED9A0D" w14:textId="77777777" w:rsidR="006F40AB" w:rsidRPr="00EB30FE" w:rsidRDefault="006F40AB" w:rsidP="006F40AB">
      <w:pPr>
        <w:pBdr>
          <w:top w:val="nil"/>
          <w:left w:val="nil"/>
          <w:bottom w:val="nil"/>
          <w:right w:val="nil"/>
          <w:between w:val="nil"/>
          <w:bar w:val="nil"/>
        </w:pBdr>
        <w:spacing w:after="0" w:line="240" w:lineRule="auto"/>
        <w:jc w:val="both"/>
        <w:rPr>
          <w:rFonts w:ascii="Arial Narrow" w:eastAsia="Arial Unicode MS" w:hAnsi="Arial Narrow"/>
          <w:bdr w:val="nil"/>
        </w:rPr>
      </w:pPr>
    </w:p>
    <w:p w14:paraId="6D3BA6F5" w14:textId="77777777" w:rsidR="006F40AB" w:rsidRPr="00EB30FE" w:rsidRDefault="006F40AB" w:rsidP="006F40AB">
      <w:pPr>
        <w:spacing w:after="120" w:line="276" w:lineRule="auto"/>
        <w:jc w:val="both"/>
        <w:rPr>
          <w:rFonts w:ascii="Arial Narrow" w:hAnsi="Arial Narrow"/>
        </w:rPr>
      </w:pPr>
      <w:r w:rsidRPr="00EB30FE">
        <w:rPr>
          <w:rFonts w:ascii="Arial Narrow" w:hAnsi="Arial Narrow"/>
        </w:rPr>
        <w:t xml:space="preserve">       V zozname realizovaných dodávok tovaru uchádzač uvedie:</w:t>
      </w:r>
    </w:p>
    <w:p w14:paraId="2480F4B9"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a)</w:t>
      </w:r>
      <w:r w:rsidRPr="00EB30FE">
        <w:rPr>
          <w:rFonts w:ascii="Arial Narrow" w:hAnsi="Arial Narrow"/>
        </w:rPr>
        <w:tab/>
        <w:t>názov/obchodné meno, sídlo/miesto podnikania odberateľa,</w:t>
      </w:r>
    </w:p>
    <w:p w14:paraId="02393075"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b)</w:t>
      </w:r>
      <w:r w:rsidRPr="00EB30FE">
        <w:rPr>
          <w:rFonts w:ascii="Arial Narrow" w:hAnsi="Arial Narrow"/>
        </w:rPr>
        <w:tab/>
        <w:t>predmet zmluvy/plnenia (stručný opis predmetu plnenia),</w:t>
      </w:r>
    </w:p>
    <w:p w14:paraId="6704A469"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c)</w:t>
      </w:r>
      <w:r w:rsidRPr="00EB30FE">
        <w:rPr>
          <w:rFonts w:ascii="Arial Narrow" w:hAnsi="Arial Narrow"/>
        </w:rPr>
        <w:tab/>
        <w:t>hodnotu tovaru v EUR bez DPH/ EUR s DPH,</w:t>
      </w:r>
    </w:p>
    <w:p w14:paraId="38243AEC"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d)</w:t>
      </w:r>
      <w:r w:rsidRPr="00EB30FE">
        <w:rPr>
          <w:rFonts w:ascii="Arial Narrow" w:hAnsi="Arial Narrow"/>
        </w:rPr>
        <w:tab/>
        <w:t>skutočnú lehotu dodania.</w:t>
      </w:r>
    </w:p>
    <w:p w14:paraId="60F533FE" w14:textId="77777777" w:rsidR="006F40AB" w:rsidRPr="00EB30FE" w:rsidRDefault="006F40AB" w:rsidP="006F40AB">
      <w:pPr>
        <w:pStyle w:val="Odsekzoznamu"/>
        <w:spacing w:after="120" w:line="276" w:lineRule="auto"/>
        <w:ind w:left="405"/>
        <w:jc w:val="both"/>
        <w:rPr>
          <w:rFonts w:ascii="Arial Narrow" w:hAnsi="Arial Narrow"/>
          <w:highlight w:val="yellow"/>
        </w:rPr>
      </w:pPr>
    </w:p>
    <w:p w14:paraId="39D88352" w14:textId="77777777" w:rsidR="006F40AB" w:rsidRPr="00EB30FE" w:rsidRDefault="006F40AB" w:rsidP="006F40AB">
      <w:pPr>
        <w:pStyle w:val="Odsekzoznamu"/>
        <w:spacing w:after="120" w:line="276" w:lineRule="auto"/>
        <w:ind w:left="405"/>
        <w:jc w:val="both"/>
        <w:rPr>
          <w:rFonts w:ascii="Arial Narrow" w:hAnsi="Arial Narrow"/>
        </w:rPr>
      </w:pPr>
      <w:r w:rsidRPr="00EB30FE">
        <w:rPr>
          <w:rFonts w:ascii="Arial Narrow" w:hAnsi="Arial Narrow"/>
        </w:rPr>
        <w:t xml:space="preserve">Uchádzač musí preukázať, že za rozhodné obdobie realizoval dodávky tovaru rovnakého alebo obdobného charakteru ako je predmet zákazky v súhrnnej hodnote </w:t>
      </w:r>
      <w:r>
        <w:rPr>
          <w:rFonts w:ascii="Arial Narrow" w:hAnsi="Arial Narrow"/>
        </w:rPr>
        <w:t>10</w:t>
      </w:r>
      <w:r w:rsidRPr="00EB30FE">
        <w:rPr>
          <w:rFonts w:ascii="Arial Narrow" w:hAnsi="Arial Narrow"/>
        </w:rPr>
        <w:t>0 000,00 Eur</w:t>
      </w:r>
      <w:r w:rsidRPr="00EB30FE">
        <w:rPr>
          <w:rFonts w:ascii="Arial Narrow" w:hAnsi="Arial Narrow"/>
        </w:rPr>
        <w:br/>
        <w:t xml:space="preserve">bez DPH. </w:t>
      </w:r>
    </w:p>
    <w:p w14:paraId="4232B7C8" w14:textId="77777777" w:rsidR="006F40AB" w:rsidRPr="006F40AB" w:rsidRDefault="006F40AB" w:rsidP="006F40AB">
      <w:pPr>
        <w:spacing w:after="120" w:line="276" w:lineRule="auto"/>
        <w:jc w:val="both"/>
        <w:rPr>
          <w:rFonts w:ascii="Arial Narrow" w:hAnsi="Arial Narrow"/>
        </w:rPr>
      </w:pPr>
      <w:r w:rsidRPr="00EB30FE">
        <w:rPr>
          <w:rFonts w:ascii="Arial Narrow" w:hAnsi="Arial Narrow"/>
        </w:rPr>
        <w:t>Za rovnaký alebo obdobný charakter dodávky verejný obstarávateľ považuje napr. laboratórne vybavenie, senzory, meracie systémy, laserové zariadenia, laboratórne mikroskopy.</w:t>
      </w:r>
    </w:p>
    <w:p w14:paraId="2EC14913" w14:textId="77777777" w:rsidR="003A60A4" w:rsidRDefault="003A60A4" w:rsidP="003A60A4">
      <w:pPr>
        <w:spacing w:after="0" w:line="240" w:lineRule="auto"/>
        <w:jc w:val="both"/>
        <w:rPr>
          <w:rFonts w:ascii="Arial Narrow" w:hAnsi="Arial Narrow" w:cs="Arial"/>
        </w:rPr>
      </w:pPr>
      <w:r w:rsidRPr="000B38D1">
        <w:rPr>
          <w:rFonts w:ascii="Arial Narrow" w:hAnsi="Arial Narrow" w:cs="Arial"/>
        </w:rPr>
        <w:t>Pri prepočte inej meny na menu euro sa použije kurz</w:t>
      </w:r>
      <w:r w:rsidRPr="00B36E2B">
        <w:rPr>
          <w:rFonts w:ascii="Arial Narrow" w:hAnsi="Arial Narrow" w:cs="Arial"/>
        </w:rPr>
        <w:t xml:space="preserve"> Európskej</w:t>
      </w:r>
      <w:r>
        <w:rPr>
          <w:rFonts w:ascii="Arial Narrow" w:hAnsi="Arial Narrow" w:cs="Arial"/>
        </w:rPr>
        <w:t xml:space="preserve"> </w:t>
      </w:r>
      <w:r w:rsidRPr="00B36E2B">
        <w:rPr>
          <w:rFonts w:ascii="Arial Narrow" w:hAnsi="Arial Narrow" w:cs="Arial"/>
        </w:rPr>
        <w:t>centrálnej banky platný v deň odoslania oznámenia o vyhlásení verejného obstarávania na predmetnú verejnú súťaž na</w:t>
      </w:r>
      <w:r>
        <w:rPr>
          <w:rFonts w:ascii="Arial Narrow" w:hAnsi="Arial Narrow" w:cs="Arial"/>
        </w:rPr>
        <w:t xml:space="preserve"> </w:t>
      </w:r>
      <w:r w:rsidRPr="00B36E2B">
        <w:rPr>
          <w:rFonts w:ascii="Arial Narrow" w:hAnsi="Arial Narrow" w:cs="Arial"/>
        </w:rPr>
        <w:t>zverejnenie v Úradnom vestníku EÚ.</w:t>
      </w:r>
    </w:p>
    <w:p w14:paraId="196A06EC" w14:textId="77777777" w:rsidR="004779E1" w:rsidRDefault="004779E1" w:rsidP="003A60A4">
      <w:pPr>
        <w:spacing w:after="0" w:line="240" w:lineRule="auto"/>
        <w:jc w:val="both"/>
        <w:rPr>
          <w:rFonts w:ascii="Arial Narrow" w:hAnsi="Arial Narrow"/>
        </w:rPr>
      </w:pPr>
    </w:p>
    <w:p w14:paraId="2457C10B" w14:textId="3071D0F5" w:rsidR="003A60A4" w:rsidRDefault="003A60A4" w:rsidP="003A60A4">
      <w:pPr>
        <w:spacing w:after="0" w:line="240" w:lineRule="auto"/>
        <w:jc w:val="both"/>
        <w:rPr>
          <w:rFonts w:ascii="Arial Narrow" w:hAnsi="Arial Narrow"/>
        </w:rPr>
      </w:pPr>
      <w:r w:rsidRPr="00B36E2B">
        <w:rPr>
          <w:rFonts w:ascii="Arial Narrow" w:hAnsi="Arial Narrow"/>
        </w:rPr>
        <w:t>V prípade dodaného tovaru</w:t>
      </w:r>
      <w:r w:rsidRPr="002462F7">
        <w:rPr>
          <w:rFonts w:ascii="Arial Narrow" w:hAnsi="Arial Narrow"/>
        </w:rPr>
        <w:t>,</w:t>
      </w:r>
      <w:r w:rsidRPr="00B36E2B">
        <w:rPr>
          <w:rFonts w:ascii="Arial Narrow" w:hAnsi="Arial Narrow"/>
        </w:rPr>
        <w:t xml:space="preserve"> ktorého začiatok alebo koniec nespadá do rozhodného obdobia, bude uchádzačovi</w:t>
      </w:r>
      <w:r>
        <w:rPr>
          <w:rFonts w:ascii="Arial Narrow" w:hAnsi="Arial Narrow"/>
        </w:rPr>
        <w:t xml:space="preserve"> </w:t>
      </w:r>
      <w:r w:rsidRPr="00B36E2B">
        <w:rPr>
          <w:rFonts w:ascii="Arial Narrow" w:hAnsi="Arial Narrow"/>
        </w:rPr>
        <w:t>započítaná pre splnenie podmienky len výška nákladov dodaného tovaru spadajúceho do rozhodného obdobia.</w:t>
      </w:r>
    </w:p>
    <w:p w14:paraId="55957B1E" w14:textId="77777777" w:rsidR="000D7D1C" w:rsidRDefault="000D7D1C" w:rsidP="008B538F">
      <w:pPr>
        <w:pStyle w:val="Odsekzoznamu"/>
        <w:spacing w:after="0" w:line="240" w:lineRule="auto"/>
        <w:ind w:left="0"/>
        <w:contextualSpacing w:val="0"/>
        <w:rPr>
          <w:rFonts w:ascii="Arial Narrow" w:hAnsi="Arial Narrow"/>
          <w:b/>
          <w:lang w:eastAsia="sk-SK"/>
        </w:rPr>
      </w:pPr>
    </w:p>
    <w:p w14:paraId="62A1099C" w14:textId="77777777" w:rsidR="000D7D1C" w:rsidRDefault="000D7D1C" w:rsidP="008B538F">
      <w:pPr>
        <w:pStyle w:val="Odsekzoznamu"/>
        <w:spacing w:after="0" w:line="240" w:lineRule="auto"/>
        <w:ind w:left="0"/>
        <w:contextualSpacing w:val="0"/>
        <w:rPr>
          <w:rFonts w:ascii="Arial Narrow" w:hAnsi="Arial Narrow"/>
          <w:b/>
          <w:lang w:eastAsia="sk-SK"/>
        </w:rPr>
      </w:pPr>
    </w:p>
    <w:p w14:paraId="64DD8088" w14:textId="13984864" w:rsidR="000D7D1C" w:rsidRDefault="000D7D1C" w:rsidP="000D7D1C">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006F40AB" w:rsidRPr="006F40AB">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2098DF5D" w14:textId="77777777" w:rsidR="000D7D1C" w:rsidRPr="00AD0F69" w:rsidRDefault="000D7D1C" w:rsidP="000D7D1C">
      <w:pPr>
        <w:spacing w:after="0" w:line="240" w:lineRule="auto"/>
        <w:jc w:val="both"/>
        <w:rPr>
          <w:rFonts w:ascii="Arial Narrow" w:hAnsi="Arial Narrow"/>
          <w:lang w:eastAsia="sk-SK"/>
        </w:rPr>
      </w:pPr>
      <w:r w:rsidRPr="004B1CC8">
        <w:rPr>
          <w:rFonts w:ascii="Arial Narrow" w:hAnsi="Arial Narrow"/>
          <w:lang w:eastAsia="sk-SK"/>
        </w:rPr>
        <w:t>Verejný obstarávateľ môže u osoby, ktorej kapacity majú byť použité na preukázanie technickej spôsobilosti alebo odbornej spôsobilosti, hodnotiť existenciu dôvodov na vylúčenie podľa § 40 ods. 8</w:t>
      </w:r>
      <w:r>
        <w:rPr>
          <w:rFonts w:ascii="Arial Narrow" w:hAnsi="Arial Narrow"/>
          <w:lang w:eastAsia="sk-SK"/>
        </w:rPr>
        <w:t xml:space="preserve"> zákona.</w:t>
      </w:r>
    </w:p>
    <w:p w14:paraId="23BDB33A" w14:textId="77777777" w:rsidR="000D7D1C" w:rsidRPr="003E03B5" w:rsidRDefault="000D7D1C" w:rsidP="003E03B5">
      <w:pPr>
        <w:spacing w:after="0" w:line="240" w:lineRule="auto"/>
        <w:jc w:val="both"/>
        <w:rPr>
          <w:rFonts w:ascii="Arial Narrow" w:hAnsi="Arial Narrow"/>
          <w:lang w:eastAsia="sk-SK"/>
        </w:rPr>
      </w:pPr>
    </w:p>
    <w:p w14:paraId="3F9173A3" w14:textId="77777777" w:rsidR="003E03B5" w:rsidRPr="003E03B5" w:rsidRDefault="000D7D1C" w:rsidP="003E03B5">
      <w:pPr>
        <w:spacing w:after="0" w:line="240" w:lineRule="auto"/>
        <w:jc w:val="both"/>
        <w:rPr>
          <w:rFonts w:ascii="Arial Narrow" w:hAnsi="Arial Narrow"/>
          <w:lang w:eastAsia="sk-SK"/>
        </w:rPr>
      </w:pPr>
      <w:r w:rsidRPr="003E03B5">
        <w:rPr>
          <w:rFonts w:ascii="Arial Narrow" w:hAnsi="Arial Narrow"/>
          <w:lang w:eastAsia="sk-SK"/>
        </w:rPr>
        <w:t>V prípade uchádzača, ktorého tvorí skupina dodávateľov zúčastnená na verejnom obstarávaní, sa požaduje preukázanie splnenia podmienok účasti za všetkých členov skupiny spoločne.</w:t>
      </w:r>
    </w:p>
    <w:p w14:paraId="4A0E1D90" w14:textId="77777777" w:rsidR="003E03B5" w:rsidRDefault="003E03B5" w:rsidP="003E03B5">
      <w:pPr>
        <w:spacing w:after="0" w:line="240" w:lineRule="auto"/>
        <w:jc w:val="both"/>
        <w:rPr>
          <w:rFonts w:ascii="Arial Narrow" w:hAnsi="Arial Narrow" w:cs="Arial"/>
        </w:rPr>
      </w:pPr>
    </w:p>
    <w:p w14:paraId="489F8B3C" w14:textId="77777777" w:rsidR="003E03B5" w:rsidRDefault="003E03B5" w:rsidP="003E03B5">
      <w:pPr>
        <w:pStyle w:val="Odsekzoznamu"/>
        <w:spacing w:after="0" w:line="240" w:lineRule="auto"/>
        <w:ind w:left="0"/>
        <w:contextualSpacing w:val="0"/>
        <w:jc w:val="both"/>
        <w:rPr>
          <w:rFonts w:ascii="Arial Narrow" w:hAnsi="Arial Narrow"/>
          <w:b/>
          <w:lang w:eastAsia="sk-SK"/>
        </w:rPr>
      </w:pPr>
    </w:p>
    <w:p w14:paraId="2BAD4BD9" w14:textId="77777777" w:rsidR="008B538F" w:rsidRDefault="008B538F" w:rsidP="008B538F">
      <w:pPr>
        <w:spacing w:after="0" w:line="240" w:lineRule="auto"/>
        <w:jc w:val="both"/>
        <w:rPr>
          <w:rFonts w:ascii="Arial Narrow" w:hAnsi="Arial Narrow"/>
          <w:shd w:val="clear" w:color="auto" w:fill="FFFFFF"/>
        </w:rPr>
      </w:pPr>
      <w:bookmarkStart w:id="0" w:name="_GoBack"/>
      <w:bookmarkEnd w:id="0"/>
    </w:p>
    <w:p w14:paraId="32438F83" w14:textId="77777777" w:rsidR="00090800" w:rsidRDefault="00090800" w:rsidP="00090800">
      <w:pPr>
        <w:pStyle w:val="Zarkazkladnhotextu2"/>
        <w:spacing w:before="120" w:line="240" w:lineRule="auto"/>
        <w:ind w:left="0"/>
        <w:jc w:val="both"/>
        <w:rPr>
          <w:rStyle w:val="Jemnzvraznenie"/>
          <w:rFonts w:ascii="Arial Narrow" w:hAnsi="Arial Narrow" w:cs="Arial"/>
          <w:b w:val="0"/>
          <w:iCs/>
          <w:sz w:val="22"/>
        </w:rPr>
      </w:pPr>
      <w:r w:rsidRPr="00D62C89">
        <w:rPr>
          <w:rFonts w:ascii="Arial Narrow" w:hAnsi="Arial Narrow"/>
          <w:b/>
          <w:lang w:val="sk-SK" w:eastAsia="sk-SK"/>
        </w:rPr>
        <w:lastRenderedPageBreak/>
        <w:t>4.</w:t>
      </w:r>
      <w:r>
        <w:rPr>
          <w:rFonts w:ascii="Arial Narrow" w:hAnsi="Arial Narrow"/>
          <w:b/>
          <w:lang w:val="sk-SK" w:eastAsia="sk-SK"/>
        </w:rPr>
        <w:t xml:space="preserve"> </w:t>
      </w:r>
      <w:r>
        <w:rPr>
          <w:rFonts w:ascii="Arial Narrow" w:hAnsi="Arial Narrow"/>
          <w:b/>
          <w:u w:val="single"/>
          <w:lang w:val="sk-SK" w:eastAsia="sk-SK"/>
        </w:rPr>
        <w:t xml:space="preserve"> Všeobecné informácie, JED</w:t>
      </w:r>
    </w:p>
    <w:p w14:paraId="64E55999" w14:textId="77777777" w:rsidR="008B538F" w:rsidRDefault="008B538F" w:rsidP="008B538F">
      <w:pPr>
        <w:spacing w:after="0" w:line="240" w:lineRule="auto"/>
        <w:jc w:val="both"/>
        <w:rPr>
          <w:rFonts w:ascii="Arial Narrow" w:hAnsi="Arial Narrow"/>
          <w:shd w:val="clear" w:color="auto" w:fill="FFFFFF"/>
        </w:rPr>
      </w:pPr>
    </w:p>
    <w:p w14:paraId="4DAB2796" w14:textId="77777777" w:rsidR="008B538F" w:rsidRDefault="008B538F" w:rsidP="008B538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A1A79A3" w14:textId="77777777" w:rsidR="008B538F" w:rsidRPr="00F34B9D" w:rsidRDefault="008B538F" w:rsidP="008B538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r w:rsidR="006B331C" w:rsidRPr="00836887">
        <w:rPr>
          <w:rStyle w:val="Jemnzvraznenie"/>
          <w:rFonts w:ascii="Arial Narrow" w:hAnsi="Arial Narrow" w:cs="Arial"/>
          <w:iCs/>
          <w:sz w:val="22"/>
          <w:u w:val="single"/>
        </w:rPr>
        <w:t>https://www.uvo.gov.sk/iednotnv-europskv- dokument-pre-vereine-obstaravanie-602.html</w:t>
      </w:r>
      <w:r w:rsidRPr="004D7B17">
        <w:rPr>
          <w:rFonts w:ascii="Arial Narrow" w:hAnsi="Arial Narrow"/>
        </w:rPr>
        <w:t>:</w:t>
      </w:r>
      <w:r>
        <w:rPr>
          <w:rFonts w:ascii="Arial Narrow" w:hAnsi="Arial Narrow"/>
        </w:rPr>
        <w:t xml:space="preserve"> JED - príručka k službe ESPD</w:t>
      </w:r>
    </w:p>
    <w:p w14:paraId="24B93B62" w14:textId="77777777" w:rsidR="008B538F" w:rsidRPr="004D7B17" w:rsidRDefault="008B538F" w:rsidP="008B538F">
      <w:pPr>
        <w:autoSpaceDE w:val="0"/>
        <w:autoSpaceDN w:val="0"/>
        <w:adjustRightInd w:val="0"/>
        <w:spacing w:before="120" w:after="0" w:line="240" w:lineRule="auto"/>
        <w:jc w:val="both"/>
        <w:rPr>
          <w:rFonts w:ascii="Arial Narrow" w:hAnsi="Arial Narrow"/>
          <w:lang w:eastAsia="sk-SK"/>
        </w:rPr>
      </w:pPr>
      <w:bookmarkStart w:id="1" w:name="_Hlk524506959"/>
      <w:r w:rsidRPr="004D7B17">
        <w:rPr>
          <w:rFonts w:ascii="Arial Narrow" w:hAnsi="Arial Narrow"/>
          <w:lang w:eastAsia="sk-SK"/>
        </w:rPr>
        <w:t>Vo formulári JED uchádzač vyplní nasledovné časti:</w:t>
      </w:r>
    </w:p>
    <w:bookmarkEnd w:id="1"/>
    <w:p w14:paraId="7127D7EB"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 – A, B a C,</w:t>
      </w:r>
    </w:p>
    <w:p w14:paraId="209350DA"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III - A, B, C a D,</w:t>
      </w:r>
    </w:p>
    <w:p w14:paraId="4E91860C"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8B538F">
        <w:rPr>
          <w:rFonts w:ascii="Arial Narrow" w:hAnsi="Arial Narrow"/>
          <w:b/>
        </w:rPr>
        <w:t>časť IV –</w:t>
      </w:r>
      <w:r w:rsidRPr="008B538F">
        <w:rPr>
          <w:rFonts w:ascii="Arial Narrow" w:hAnsi="Arial Narrow"/>
          <w:b/>
          <w:color w:val="000000"/>
        </w:rPr>
        <w:t xml:space="preserve"> oddiel α </w:t>
      </w:r>
      <w:r w:rsidRPr="008B538F">
        <w:rPr>
          <w:rFonts w:ascii="Arial Narrow" w:hAnsi="Arial Narrow" w:cs="Arial"/>
          <w:b/>
          <w:color w:val="000000"/>
        </w:rPr>
        <w:t>(globálny údaj pre všetky podmienky účasti</w:t>
      </w:r>
      <w:r w:rsidRPr="002C5239">
        <w:rPr>
          <w:rFonts w:ascii="Arial Narrow" w:hAnsi="Arial Narrow" w:cs="Arial"/>
          <w:color w:val="000000"/>
        </w:rPr>
        <w:t>)</w:t>
      </w:r>
      <w:r w:rsidRPr="004D7B17">
        <w:rPr>
          <w:rFonts w:ascii="Arial Narrow" w:hAnsi="Arial Narrow"/>
          <w:color w:val="000000"/>
        </w:rPr>
        <w:t>,</w:t>
      </w:r>
    </w:p>
    <w:p w14:paraId="3FD065CF"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VI.</w:t>
      </w:r>
    </w:p>
    <w:p w14:paraId="38DE7BCF" w14:textId="77777777" w:rsidR="008B538F" w:rsidRDefault="008B538F" w:rsidP="001E24E7">
      <w:pPr>
        <w:spacing w:before="120" w:after="0" w:line="240" w:lineRule="auto"/>
        <w:jc w:val="both"/>
        <w:rPr>
          <w:rFonts w:ascii="Arial Narrow" w:hAnsi="Arial Narrow" w:cs="Arial Narrow"/>
        </w:rPr>
      </w:pPr>
      <w:r w:rsidRPr="00F73CE5">
        <w:rPr>
          <w:rFonts w:ascii="Arial Narrow" w:hAnsi="Arial Narrow" w:cs="Arial Narrow"/>
        </w:rPr>
        <w:t xml:space="preserve">Verejný obstarávateľ odporúča, aby uchádzač použil predvyplnený </w:t>
      </w:r>
      <w:r w:rsidRPr="008B538F">
        <w:rPr>
          <w:rFonts w:ascii="Arial Narrow" w:hAnsi="Arial Narrow" w:cs="Arial Narrow"/>
          <w:highlight w:val="yellow"/>
        </w:rPr>
        <w:t>elektronický</w:t>
      </w:r>
      <w:r w:rsidRPr="00F73CE5">
        <w:rPr>
          <w:rFonts w:ascii="Arial Narrow" w:hAnsi="Arial Narrow" w:cs="Arial Narrow"/>
        </w:rPr>
        <w:t xml:space="preserve"> formulár JED </w:t>
      </w:r>
      <w:r w:rsidRPr="008B538F">
        <w:rPr>
          <w:rFonts w:ascii="Arial Narrow" w:hAnsi="Arial Narrow" w:cs="Arial Narrow"/>
          <w:highlight w:val="yellow"/>
        </w:rPr>
        <w:t>vo formáte .xml</w:t>
      </w:r>
      <w:r w:rsidRPr="00F73CE5">
        <w:rPr>
          <w:rFonts w:ascii="Arial Narrow" w:hAnsi="Arial Narrow" w:cs="Arial Narrow"/>
        </w:rPr>
        <w:t xml:space="preserve">, </w:t>
      </w:r>
      <w:r w:rsidR="006F40AB">
        <w:rPr>
          <w:rFonts w:ascii="Arial Narrow" w:hAnsi="Arial Narrow" w:cs="Arial"/>
        </w:rPr>
        <w:t>ktorý je prílohou č. 6</w:t>
      </w:r>
      <w:r w:rsidRPr="00F73CE5">
        <w:rPr>
          <w:rFonts w:ascii="Arial Narrow" w:hAnsi="Arial Narrow" w:cs="Arial"/>
        </w:rPr>
        <w:t xml:space="preserve"> </w:t>
      </w:r>
      <w:r w:rsidRPr="00C73164">
        <w:rPr>
          <w:rFonts w:ascii="Arial Narrow" w:hAnsi="Arial Narrow"/>
          <w:szCs w:val="20"/>
        </w:rPr>
        <w:t>Formulár Jednotného európskeho dokumentu pre obstarávanie</w:t>
      </w:r>
      <w:r w:rsidRPr="00F73CE5">
        <w:rPr>
          <w:rFonts w:ascii="Arial Narrow" w:hAnsi="Arial Narrow" w:cs="Arial"/>
        </w:rPr>
        <w:t xml:space="preserve"> týchto súťažných podkladov</w:t>
      </w:r>
      <w:r w:rsidRPr="00F73CE5">
        <w:rPr>
          <w:rFonts w:ascii="Arial Narrow" w:hAnsi="Arial Narrow" w:cs="Arial Narrow"/>
        </w:rPr>
        <w:t>.</w:t>
      </w:r>
    </w:p>
    <w:p w14:paraId="4A408439" w14:textId="77777777" w:rsidR="006B331C" w:rsidRDefault="006B331C" w:rsidP="006B331C">
      <w:pPr>
        <w:pStyle w:val="Zarkazkladnhotextu2"/>
        <w:spacing w:before="120" w:line="240" w:lineRule="auto"/>
        <w:ind w:left="0"/>
        <w:jc w:val="both"/>
        <w:rPr>
          <w:rFonts w:ascii="Arial Narrow" w:eastAsia="Times New Roman" w:hAnsi="Arial Narrow" w:cs="Arial Narrow"/>
          <w:lang w:val="sk-SK"/>
        </w:rPr>
      </w:pPr>
    </w:p>
    <w:p w14:paraId="281D5840" w14:textId="77777777" w:rsidR="006B331C" w:rsidRPr="005B4193" w:rsidRDefault="006B331C" w:rsidP="006B331C">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w:t>
      </w:r>
      <w:r w:rsidRPr="00887ABD">
        <w:rPr>
          <w:rFonts w:ascii="Arial Narrow" w:hAnsi="Arial Narrow"/>
        </w:rPr>
        <w:t xml:space="preserve">predkladá </w:t>
      </w:r>
      <w:r>
        <w:rPr>
          <w:rFonts w:ascii="Arial Narrow" w:hAnsi="Arial Narrow"/>
          <w:lang w:val="sk-SK"/>
        </w:rPr>
        <w:t xml:space="preserve"> v ponuke </w:t>
      </w:r>
      <w:r w:rsidRPr="00887ABD">
        <w:rPr>
          <w:rFonts w:ascii="Arial Narrow" w:hAnsi="Arial Narrow"/>
        </w:rPr>
        <w:t>doklad</w:t>
      </w:r>
      <w:r>
        <w:rPr>
          <w:rFonts w:ascii="Arial Narrow" w:hAnsi="Arial Narrow"/>
          <w:lang w:val="sk-SK"/>
        </w:rPr>
        <w:t>y</w:t>
      </w:r>
      <w:r w:rsidRPr="00887ABD">
        <w:rPr>
          <w:rFonts w:ascii="Arial Narrow" w:hAnsi="Arial Narrow"/>
        </w:rPr>
        <w:t xml:space="preserve"> na preukázanie splnenia podmienok účasti </w:t>
      </w:r>
      <w:bookmarkStart w:id="2" w:name="_Hlk534973602"/>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w:t>
      </w:r>
      <w:r>
        <w:rPr>
          <w:rFonts w:ascii="Arial Narrow" w:hAnsi="Arial Narrow"/>
          <w:lang w:val="sk-SK"/>
        </w:rPr>
        <w:t>2</w:t>
      </w:r>
      <w:r>
        <w:rPr>
          <w:rFonts w:ascii="Arial Narrow" w:hAnsi="Arial Narrow"/>
        </w:rPr>
        <w:t xml:space="preserve">  </w:t>
      </w:r>
      <w:r>
        <w:rPr>
          <w:rFonts w:ascii="Arial Narrow" w:hAnsi="Arial Narrow"/>
          <w:lang w:val="sk-SK"/>
        </w:rPr>
        <w:t xml:space="preserve">týchto súťažných </w:t>
      </w:r>
      <w:r>
        <w:rPr>
          <w:rFonts w:ascii="Arial Narrow" w:hAnsi="Arial Narrow"/>
        </w:rPr>
        <w:t>podkladov</w:t>
      </w:r>
      <w:bookmarkEnd w:id="2"/>
      <w:r w:rsidRPr="005B4193">
        <w:rPr>
          <w:rFonts w:ascii="Arial Narrow" w:hAnsi="Arial Narrow"/>
          <w:lang w:val="sk-SK"/>
        </w:rPr>
        <w:t>.</w:t>
      </w:r>
    </w:p>
    <w:p w14:paraId="08CF450D" w14:textId="77777777" w:rsidR="006B331C" w:rsidRDefault="006B331C" w:rsidP="001E24E7">
      <w:pPr>
        <w:spacing w:before="120" w:after="0" w:line="240" w:lineRule="auto"/>
        <w:jc w:val="both"/>
        <w:rPr>
          <w:rFonts w:ascii="Arial Narrow" w:hAnsi="Arial Narrow" w:cs="Arial Narrow"/>
        </w:rPr>
      </w:pPr>
    </w:p>
    <w:p w14:paraId="1298C73C" w14:textId="77777777" w:rsidR="006B331C" w:rsidRPr="003E03B5" w:rsidRDefault="006B331C" w:rsidP="001E24E7">
      <w:pPr>
        <w:spacing w:before="120" w:after="0" w:line="240" w:lineRule="auto"/>
        <w:jc w:val="both"/>
        <w:rPr>
          <w:rFonts w:ascii="Arial Narrow" w:hAnsi="Arial Narrow"/>
          <w:b/>
          <w:lang w:eastAsia="sk-SK"/>
        </w:rPr>
      </w:pPr>
    </w:p>
    <w:sectPr w:rsidR="006B331C" w:rsidRPr="003E03B5" w:rsidSect="00AA26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D2EB3" w14:textId="77777777" w:rsidR="00394BE2" w:rsidRDefault="00394BE2" w:rsidP="00CF3803">
      <w:pPr>
        <w:spacing w:after="0" w:line="240" w:lineRule="auto"/>
      </w:pPr>
      <w:r>
        <w:separator/>
      </w:r>
    </w:p>
  </w:endnote>
  <w:endnote w:type="continuationSeparator" w:id="0">
    <w:p w14:paraId="28DE3A18" w14:textId="77777777" w:rsidR="00394BE2" w:rsidRDefault="00394BE2"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EDA3B" w14:textId="77777777" w:rsidR="00394BE2" w:rsidRDefault="00394BE2" w:rsidP="00CF3803">
      <w:pPr>
        <w:spacing w:after="0" w:line="240" w:lineRule="auto"/>
      </w:pPr>
      <w:r>
        <w:separator/>
      </w:r>
    </w:p>
  </w:footnote>
  <w:footnote w:type="continuationSeparator" w:id="0">
    <w:p w14:paraId="75F23A33" w14:textId="77777777" w:rsidR="00394BE2" w:rsidRDefault="00394BE2"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5F7698D2"/>
    <w:lvl w:ilvl="0" w:tplc="39501618">
      <w:start w:val="1"/>
      <w:numFmt w:val="upperLetter"/>
      <w:lvlText w:val="%1)"/>
      <w:lvlJc w:val="left"/>
      <w:pPr>
        <w:ind w:left="681" w:hanging="360"/>
      </w:pPr>
      <w:rPr>
        <w:b/>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0"/>
  </w:num>
  <w:num w:numId="4">
    <w:abstractNumId w:val="15"/>
  </w:num>
  <w:num w:numId="5">
    <w:abstractNumId w:val="11"/>
  </w:num>
  <w:num w:numId="6">
    <w:abstractNumId w:val="6"/>
  </w:num>
  <w:num w:numId="7">
    <w:abstractNumId w:val="1"/>
  </w:num>
  <w:num w:numId="8">
    <w:abstractNumId w:val="13"/>
  </w:num>
  <w:num w:numId="9">
    <w:abstractNumId w:val="17"/>
  </w:num>
  <w:num w:numId="10">
    <w:abstractNumId w:val="7"/>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800"/>
    <w:rsid w:val="00090AB1"/>
    <w:rsid w:val="000910C3"/>
    <w:rsid w:val="000A335D"/>
    <w:rsid w:val="000A4279"/>
    <w:rsid w:val="000A7CEC"/>
    <w:rsid w:val="000B1FC7"/>
    <w:rsid w:val="000B38D1"/>
    <w:rsid w:val="000C02BB"/>
    <w:rsid w:val="000C22B3"/>
    <w:rsid w:val="000D11AE"/>
    <w:rsid w:val="000D76E1"/>
    <w:rsid w:val="000D7D1C"/>
    <w:rsid w:val="000E30BB"/>
    <w:rsid w:val="00111A1C"/>
    <w:rsid w:val="00112F5A"/>
    <w:rsid w:val="00116D6B"/>
    <w:rsid w:val="00123C58"/>
    <w:rsid w:val="0012597B"/>
    <w:rsid w:val="00127D90"/>
    <w:rsid w:val="00130205"/>
    <w:rsid w:val="00130AF9"/>
    <w:rsid w:val="001406FA"/>
    <w:rsid w:val="001437DD"/>
    <w:rsid w:val="001579A4"/>
    <w:rsid w:val="0016443D"/>
    <w:rsid w:val="001A0475"/>
    <w:rsid w:val="001A0942"/>
    <w:rsid w:val="001A13E7"/>
    <w:rsid w:val="001C7197"/>
    <w:rsid w:val="001C7614"/>
    <w:rsid w:val="001D1A90"/>
    <w:rsid w:val="001D2E3A"/>
    <w:rsid w:val="001E24E7"/>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76238"/>
    <w:rsid w:val="002843B7"/>
    <w:rsid w:val="00284649"/>
    <w:rsid w:val="00285EE8"/>
    <w:rsid w:val="00295E70"/>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80F8B"/>
    <w:rsid w:val="0039124C"/>
    <w:rsid w:val="00394AD8"/>
    <w:rsid w:val="00394BE2"/>
    <w:rsid w:val="003963FE"/>
    <w:rsid w:val="003A2371"/>
    <w:rsid w:val="003A60A4"/>
    <w:rsid w:val="003C06A1"/>
    <w:rsid w:val="003C1B9D"/>
    <w:rsid w:val="003E03B5"/>
    <w:rsid w:val="003E3A28"/>
    <w:rsid w:val="003E4862"/>
    <w:rsid w:val="003E5C03"/>
    <w:rsid w:val="003F0645"/>
    <w:rsid w:val="003F658A"/>
    <w:rsid w:val="00407B93"/>
    <w:rsid w:val="00414913"/>
    <w:rsid w:val="004168C8"/>
    <w:rsid w:val="0042224B"/>
    <w:rsid w:val="00422288"/>
    <w:rsid w:val="00461B8B"/>
    <w:rsid w:val="00466C5E"/>
    <w:rsid w:val="0047282D"/>
    <w:rsid w:val="004779E1"/>
    <w:rsid w:val="00483DAC"/>
    <w:rsid w:val="004A1FFD"/>
    <w:rsid w:val="004B206A"/>
    <w:rsid w:val="004B496E"/>
    <w:rsid w:val="004C335B"/>
    <w:rsid w:val="004E0D4E"/>
    <w:rsid w:val="004F585E"/>
    <w:rsid w:val="00501BEC"/>
    <w:rsid w:val="00503C06"/>
    <w:rsid w:val="00504DFD"/>
    <w:rsid w:val="00505F5D"/>
    <w:rsid w:val="00506594"/>
    <w:rsid w:val="00541B2C"/>
    <w:rsid w:val="00543F73"/>
    <w:rsid w:val="00555656"/>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331C"/>
    <w:rsid w:val="006B5ED7"/>
    <w:rsid w:val="006C0C32"/>
    <w:rsid w:val="006C4BA1"/>
    <w:rsid w:val="006F0353"/>
    <w:rsid w:val="006F2010"/>
    <w:rsid w:val="006F40AB"/>
    <w:rsid w:val="0070402F"/>
    <w:rsid w:val="00706952"/>
    <w:rsid w:val="00724924"/>
    <w:rsid w:val="007332F9"/>
    <w:rsid w:val="00753E9A"/>
    <w:rsid w:val="00761153"/>
    <w:rsid w:val="0076502B"/>
    <w:rsid w:val="00782027"/>
    <w:rsid w:val="00785E23"/>
    <w:rsid w:val="00796C66"/>
    <w:rsid w:val="007A2754"/>
    <w:rsid w:val="007A7038"/>
    <w:rsid w:val="007B61F1"/>
    <w:rsid w:val="007C3264"/>
    <w:rsid w:val="007C6CD3"/>
    <w:rsid w:val="007E480C"/>
    <w:rsid w:val="007E481E"/>
    <w:rsid w:val="007F0FEF"/>
    <w:rsid w:val="007F1EDD"/>
    <w:rsid w:val="007F4395"/>
    <w:rsid w:val="007F63C1"/>
    <w:rsid w:val="008053F7"/>
    <w:rsid w:val="00814801"/>
    <w:rsid w:val="00823420"/>
    <w:rsid w:val="00835829"/>
    <w:rsid w:val="00844D8F"/>
    <w:rsid w:val="00856985"/>
    <w:rsid w:val="00886254"/>
    <w:rsid w:val="008A21D9"/>
    <w:rsid w:val="008A5D82"/>
    <w:rsid w:val="008B538F"/>
    <w:rsid w:val="008B78EB"/>
    <w:rsid w:val="008C3328"/>
    <w:rsid w:val="008D5D52"/>
    <w:rsid w:val="008D7643"/>
    <w:rsid w:val="008D7A41"/>
    <w:rsid w:val="008F5ED1"/>
    <w:rsid w:val="00902FD9"/>
    <w:rsid w:val="00905688"/>
    <w:rsid w:val="009065DC"/>
    <w:rsid w:val="00914F24"/>
    <w:rsid w:val="0091667B"/>
    <w:rsid w:val="00947669"/>
    <w:rsid w:val="00953D59"/>
    <w:rsid w:val="00960074"/>
    <w:rsid w:val="009703C0"/>
    <w:rsid w:val="00986302"/>
    <w:rsid w:val="0098633C"/>
    <w:rsid w:val="00986E67"/>
    <w:rsid w:val="009A6009"/>
    <w:rsid w:val="009B2A26"/>
    <w:rsid w:val="009B5AC4"/>
    <w:rsid w:val="009B6299"/>
    <w:rsid w:val="009D17C4"/>
    <w:rsid w:val="009D6A48"/>
    <w:rsid w:val="009F226E"/>
    <w:rsid w:val="00A130C8"/>
    <w:rsid w:val="00A21721"/>
    <w:rsid w:val="00A224C2"/>
    <w:rsid w:val="00A23962"/>
    <w:rsid w:val="00A312EF"/>
    <w:rsid w:val="00A32CC7"/>
    <w:rsid w:val="00A355A9"/>
    <w:rsid w:val="00A35B70"/>
    <w:rsid w:val="00A403F4"/>
    <w:rsid w:val="00A472EE"/>
    <w:rsid w:val="00A523E9"/>
    <w:rsid w:val="00A63431"/>
    <w:rsid w:val="00A73047"/>
    <w:rsid w:val="00A75414"/>
    <w:rsid w:val="00A80890"/>
    <w:rsid w:val="00AA26B7"/>
    <w:rsid w:val="00AA4FC2"/>
    <w:rsid w:val="00AC4256"/>
    <w:rsid w:val="00AD0B8C"/>
    <w:rsid w:val="00AE2E11"/>
    <w:rsid w:val="00B022C3"/>
    <w:rsid w:val="00B108B4"/>
    <w:rsid w:val="00B20C76"/>
    <w:rsid w:val="00B325D5"/>
    <w:rsid w:val="00B33A50"/>
    <w:rsid w:val="00B5148B"/>
    <w:rsid w:val="00B74202"/>
    <w:rsid w:val="00B75725"/>
    <w:rsid w:val="00B802FF"/>
    <w:rsid w:val="00B906C4"/>
    <w:rsid w:val="00BA3F66"/>
    <w:rsid w:val="00BA6699"/>
    <w:rsid w:val="00BB231A"/>
    <w:rsid w:val="00BB5D8B"/>
    <w:rsid w:val="00BB673C"/>
    <w:rsid w:val="00BC1070"/>
    <w:rsid w:val="00BC4389"/>
    <w:rsid w:val="00BC5623"/>
    <w:rsid w:val="00BC7D62"/>
    <w:rsid w:val="00BC7F2A"/>
    <w:rsid w:val="00BE1359"/>
    <w:rsid w:val="00BE3AD8"/>
    <w:rsid w:val="00BE4AB9"/>
    <w:rsid w:val="00BE6A5C"/>
    <w:rsid w:val="00BF281D"/>
    <w:rsid w:val="00C0206D"/>
    <w:rsid w:val="00C100A9"/>
    <w:rsid w:val="00C13AD6"/>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C3473"/>
    <w:rsid w:val="00CE6FD2"/>
    <w:rsid w:val="00CF3803"/>
    <w:rsid w:val="00CF4064"/>
    <w:rsid w:val="00D06236"/>
    <w:rsid w:val="00D072BB"/>
    <w:rsid w:val="00D172AD"/>
    <w:rsid w:val="00D3408F"/>
    <w:rsid w:val="00D426E7"/>
    <w:rsid w:val="00D42D10"/>
    <w:rsid w:val="00D569AD"/>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2343"/>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10EDE1"/>
  <w15:docId w15:val="{BC033471-ACFD-45E8-B808-CA157E55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character" w:styleId="Siln">
    <w:name w:val="Strong"/>
    <w:basedOn w:val="Predvolenpsmoodseku"/>
    <w:uiPriority w:val="22"/>
    <w:qFormat/>
    <w:rsid w:val="006F40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2A307-FA1E-42CA-A3D3-1AB9C571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2036</Words>
  <Characters>11610</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Rybárik</dc:creator>
  <cp:lastModifiedBy>Tomáš Rybárik</cp:lastModifiedBy>
  <cp:revision>5</cp:revision>
  <cp:lastPrinted>2022-01-18T07:35:00Z</cp:lastPrinted>
  <dcterms:created xsi:type="dcterms:W3CDTF">2022-10-17T15:54:00Z</dcterms:created>
  <dcterms:modified xsi:type="dcterms:W3CDTF">2022-10-18T11:25:00Z</dcterms:modified>
</cp:coreProperties>
</file>