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127B5C" w:rsidRDefault="00613A8C" w:rsidP="00565125">
            <w:pPr>
              <w:tabs>
                <w:tab w:val="clear" w:pos="4500"/>
                <w:tab w:val="left" w:pos="13892"/>
              </w:tabs>
              <w:autoSpaceDE w:val="0"/>
              <w:autoSpaceDN w:val="0"/>
              <w:adjustRightInd w:val="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r w:rsidRPr="00127B5C">
              <w:rPr>
                <w:rFonts w:ascii="Arial Narrow" w:hAnsi="Arial Narrow" w:cs="Arial"/>
                <w:sz w:val="24"/>
                <w:szCs w:val="24"/>
                <w:highlight w:val="yellow"/>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127B5C"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highlight w:val="yellow"/>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3FC2C38A" w:rsidR="00F85137" w:rsidRPr="00F85137" w:rsidRDefault="00DE521C" w:rsidP="00EA3B0C">
      <w:pPr>
        <w:pStyle w:val="CTL"/>
        <w:numPr>
          <w:ilvl w:val="1"/>
          <w:numId w:val="31"/>
        </w:numPr>
        <w:spacing w:after="240" w:line="24" w:lineRule="atLeast"/>
        <w:ind w:left="567" w:hanging="567"/>
        <w:contextualSpacing/>
        <w:rPr>
          <w:rFonts w:ascii="Arial Narrow" w:hAnsi="Arial Narrow" w:cs="Calibri"/>
          <w:szCs w:val="24"/>
        </w:rPr>
      </w:pPr>
      <w:r w:rsidRPr="00560622">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EA3B0C" w:rsidRPr="00EA3B0C">
        <w:rPr>
          <w:rFonts w:ascii="Arial Narrow" w:hAnsi="Arial Narrow"/>
          <w:b/>
          <w:color w:val="333333"/>
          <w:sz w:val="22"/>
          <w:szCs w:val="22"/>
          <w:shd w:val="clear" w:color="auto" w:fill="FFFFFF"/>
        </w:rPr>
        <w:t>Zabezpečenie technických prostriedkov pre službu dopravnej polície</w:t>
      </w:r>
      <w:r w:rsidR="00F85137">
        <w:rPr>
          <w:rFonts w:ascii="Arial Narrow" w:hAnsi="Arial Narrow"/>
          <w:b/>
          <w:color w:val="333333"/>
          <w:sz w:val="22"/>
          <w:szCs w:val="22"/>
          <w:shd w:val="clear" w:color="auto" w:fill="FFFFFF"/>
        </w:rPr>
        <w:t xml:space="preserve"> (</w:t>
      </w:r>
      <w:r w:rsidR="005C4D3C">
        <w:rPr>
          <w:rFonts w:ascii="Arial Narrow" w:hAnsi="Arial Narrow"/>
          <w:b/>
          <w:color w:val="333333"/>
          <w:sz w:val="22"/>
          <w:szCs w:val="22"/>
          <w:shd w:val="clear" w:color="auto" w:fill="FFFFFF"/>
        </w:rPr>
        <w:t xml:space="preserve">ID zákazky </w:t>
      </w:r>
      <w:r w:rsidR="00EA3B0C">
        <w:rPr>
          <w:rFonts w:ascii="Arial Narrow" w:hAnsi="Arial Narrow"/>
          <w:b/>
          <w:color w:val="333333"/>
          <w:sz w:val="22"/>
          <w:szCs w:val="22"/>
          <w:shd w:val="clear" w:color="auto" w:fill="FFFFFF"/>
        </w:rPr>
        <w:t>29668</w:t>
      </w:r>
      <w:r w:rsidR="00F85137">
        <w:rPr>
          <w:rFonts w:ascii="Arial Narrow" w:hAnsi="Arial Narrow"/>
          <w:b/>
          <w:color w:val="333333"/>
          <w:sz w:val="22"/>
          <w:szCs w:val="22"/>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7777777"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77777777"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77777777"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Pr="00560622">
        <w:rPr>
          <w:rFonts w:ascii="Arial Narrow" w:hAnsi="Arial Narrow" w:cs="Calibri"/>
          <w:szCs w:val="24"/>
        </w:rPr>
        <w:t xml:space="preserve">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4E1006">
        <w:rPr>
          <w:rFonts w:ascii="Arial Narrow" w:hAnsi="Arial Narrow" w:cs="Calibri"/>
          <w:szCs w:val="24"/>
        </w:rPr>
        <w:t>, v slovenskom jazyku alebo v českom jazyku.</w:t>
      </w:r>
    </w:p>
    <w:p w14:paraId="5561D72F" w14:textId="0E89F158"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4314B0" w:rsidRPr="00560622">
        <w:rPr>
          <w:rFonts w:ascii="Arial Narrow" w:hAnsi="Arial Narrow"/>
          <w:szCs w:val="24"/>
        </w:rPr>
        <w:t> </w:t>
      </w:r>
      <w:r w:rsidRPr="00560622">
        <w:rPr>
          <w:rFonts w:ascii="Arial Narrow" w:hAnsi="Arial Narrow"/>
          <w:szCs w:val="24"/>
        </w:rPr>
        <w:t>mieste</w:t>
      </w:r>
      <w:r w:rsidR="004314B0" w:rsidRPr="00560622">
        <w:rPr>
          <w:rFonts w:ascii="Arial Narrow" w:hAnsi="Arial Narrow"/>
          <w:szCs w:val="24"/>
        </w:rPr>
        <w:t xml:space="preserve"> </w:t>
      </w:r>
      <w:r w:rsidR="004738F4" w:rsidRPr="00560622">
        <w:rPr>
          <w:rFonts w:ascii="Arial Narrow" w:hAnsi="Arial Narrow"/>
          <w:szCs w:val="24"/>
        </w:rPr>
        <w:t>dodania</w:t>
      </w:r>
      <w:r w:rsidR="00097ED2">
        <w:rPr>
          <w:rFonts w:ascii="Arial Narrow" w:hAnsi="Arial Narrow"/>
          <w:szCs w:val="24"/>
        </w:rPr>
        <w:t>, odber a </w:t>
      </w:r>
      <w:r w:rsidR="00097ED2" w:rsidRPr="0026339A">
        <w:rPr>
          <w:rFonts w:ascii="Arial Narrow" w:hAnsi="Arial Narrow"/>
          <w:szCs w:val="24"/>
        </w:rPr>
        <w:t>ekologická likvidácia použitého spotrebného mat</w:t>
      </w:r>
      <w:r w:rsidR="0026339A" w:rsidRPr="0026339A">
        <w:rPr>
          <w:rFonts w:ascii="Arial Narrow" w:hAnsi="Arial Narrow"/>
          <w:szCs w:val="24"/>
        </w:rPr>
        <w:t>eriálu</w:t>
      </w:r>
      <w:r w:rsidR="00097ED2" w:rsidRPr="0026339A">
        <w:rPr>
          <w:rFonts w:ascii="Arial Narrow" w:hAnsi="Arial Narrow"/>
          <w:szCs w:val="24"/>
        </w:rPr>
        <w:t>.</w:t>
      </w:r>
      <w:r w:rsidR="00097ED2">
        <w:rPr>
          <w:rFonts w:ascii="Arial Narrow" w:hAnsi="Arial Narrow"/>
          <w:szCs w:val="24"/>
        </w:rPr>
        <w:t xml:space="preserve">   </w:t>
      </w:r>
    </w:p>
    <w:p w14:paraId="25890130" w14:textId="28D18DFB"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183DBD">
        <w:rPr>
          <w:rFonts w:ascii="Arial Narrow" w:hAnsi="Arial Narrow" w:cs="Calibri"/>
          <w:szCs w:val="24"/>
        </w:rPr>
        <w:t>2 mesiacov</w:t>
      </w:r>
      <w:r w:rsidR="00F31467" w:rsidRPr="00560622" w:rsidDel="00F31467">
        <w:rPr>
          <w:rFonts w:ascii="Arial Narrow" w:hAnsi="Arial Narrow" w:cs="Calibri"/>
          <w:szCs w:val="24"/>
        </w:rPr>
        <w:t xml:space="preserve"> </w:t>
      </w:r>
      <w:r w:rsidR="00DE521C" w:rsidRPr="00560622">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77777777"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 a zaplatením kúpnej ceny.</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Pr="00A1488C"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A1488C">
        <w:rPr>
          <w:rFonts w:ascii="Arial Narrow" w:hAnsi="Arial Narrow" w:cs="Calibri"/>
          <w:szCs w:val="24"/>
        </w:rPr>
        <w:t xml:space="preserve">V prípade, že Predávajúci, jeho subdodávateľ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  podľa</w:t>
      </w:r>
      <w:r w:rsidRPr="00A1488C">
        <w:rPr>
          <w:szCs w:val="24"/>
        </w:rPr>
        <w:t xml:space="preserve"> </w:t>
      </w:r>
      <w:r w:rsidRPr="00A1488C">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1488C">
        <w:rPr>
          <w:szCs w:val="24"/>
        </w:rPr>
        <w:t xml:space="preserve"> </w:t>
      </w:r>
      <w:r w:rsidRPr="00A1488C">
        <w:rPr>
          <w:rFonts w:ascii="Arial Narrow" w:hAnsi="Arial Narrow" w:cs="Calibri"/>
          <w:szCs w:val="24"/>
        </w:rPr>
        <w:t xml:space="preserve">jeho subdodávateľa podľa zákona č. 343/2015 </w:t>
      </w:r>
      <w:proofErr w:type="spellStart"/>
      <w:r w:rsidRPr="00A1488C">
        <w:rPr>
          <w:rFonts w:ascii="Arial Narrow" w:hAnsi="Arial Narrow" w:cs="Calibri"/>
          <w:szCs w:val="24"/>
        </w:rPr>
        <w:t>Z.z</w:t>
      </w:r>
      <w:proofErr w:type="spellEnd"/>
      <w:r w:rsidRPr="00A1488C">
        <w:rPr>
          <w:rFonts w:ascii="Arial Narrow" w:hAnsi="Arial Narrow" w:cs="Calibri"/>
          <w:szCs w:val="24"/>
        </w:rPr>
        <w:t>. alebo subdodávateľa  podľa  zákona č. 315/2016 Z. z., nie je:</w:t>
      </w:r>
    </w:p>
    <w:p w14:paraId="3C2853F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1. prezident Slovenskej republiky,</w:t>
      </w:r>
    </w:p>
    <w:p w14:paraId="242A7981"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2. člen vlády,</w:t>
      </w:r>
    </w:p>
    <w:p w14:paraId="23054B4C"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3. vedúci ústredného orgánu štátnej správy, ktorý nie je členom vlády,</w:t>
      </w:r>
    </w:p>
    <w:p w14:paraId="6CB5A94A"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4. vedúci orgánu štátnej správy s celoslovenskou pôsobnosťou,</w:t>
      </w:r>
    </w:p>
    <w:p w14:paraId="3E8B218B"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5. sudca Ústavného súdu Slovenskej republiky alebo sudca,</w:t>
      </w:r>
    </w:p>
    <w:p w14:paraId="5D48D17D" w14:textId="77777777"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6. generálny prokurátor Slovenskej republiky, špeciálny prokurátor alebo prokurátor,</w:t>
      </w:r>
    </w:p>
    <w:p w14:paraId="5D7938BA" w14:textId="529FF362" w:rsidR="008B7A63" w:rsidRPr="0026339A" w:rsidRDefault="008B7A63" w:rsidP="0026339A">
      <w:pPr>
        <w:pStyle w:val="CTL"/>
        <w:numPr>
          <w:ilvl w:val="0"/>
          <w:numId w:val="0"/>
        </w:numPr>
        <w:tabs>
          <w:tab w:val="left" w:pos="567"/>
        </w:tabs>
        <w:spacing w:after="0" w:line="24" w:lineRule="atLeast"/>
        <w:ind w:left="567"/>
        <w:rPr>
          <w:rFonts w:ascii="Arial Narrow" w:hAnsi="Arial Narrow"/>
          <w:szCs w:val="24"/>
        </w:rPr>
      </w:pPr>
      <w:r w:rsidRPr="0026339A">
        <w:rPr>
          <w:rFonts w:ascii="Arial Narrow" w:hAnsi="Arial Narrow" w:cs="Calibri"/>
          <w:szCs w:val="24"/>
        </w:rPr>
        <w:t>7. verejný ochranca práv,</w:t>
      </w:r>
    </w:p>
    <w:p w14:paraId="7DBC90B9" w14:textId="23EFB6E7" w:rsidR="008B7A63" w:rsidRPr="0026339A" w:rsidRDefault="00173C02"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 xml:space="preserve">   </w:t>
      </w:r>
      <w:r w:rsidR="008B7A63" w:rsidRPr="0026339A">
        <w:rPr>
          <w:rFonts w:ascii="Arial Narrow" w:hAnsi="Arial Narrow" w:cs="Calibri"/>
          <w:szCs w:val="24"/>
        </w:rPr>
        <w:t>8. predseda Najvyššieho kontrolného úradu Slovenskej republiky a podpredseda Najvyššieho kontrolného úradu Slovenskej republiky,</w:t>
      </w:r>
    </w:p>
    <w:p w14:paraId="523584CE"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9. štátny tajomník,</w:t>
      </w:r>
    </w:p>
    <w:p w14:paraId="1CE78BF5"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10. generálny tajomník služobného úradu,</w:t>
      </w:r>
    </w:p>
    <w:p w14:paraId="39227D87" w14:textId="2B6A0250"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11. prednosta okresného úradu,</w:t>
      </w:r>
    </w:p>
    <w:p w14:paraId="669C0357" w14:textId="77777777"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12. primátor hlavného mesta Slovenskej republiky Bratislavy, primátor krajského mesta alebo primátor okresného mesta, alebo</w:t>
      </w:r>
    </w:p>
    <w:p w14:paraId="73A2231E" w14:textId="616B25F5" w:rsidR="008B7A63" w:rsidRPr="0026339A" w:rsidRDefault="008B7A63" w:rsidP="0026339A">
      <w:pPr>
        <w:pStyle w:val="CTL"/>
        <w:numPr>
          <w:ilvl w:val="0"/>
          <w:numId w:val="0"/>
        </w:numPr>
        <w:spacing w:after="0" w:line="24" w:lineRule="atLeast"/>
        <w:ind w:left="720" w:hanging="360"/>
        <w:rPr>
          <w:rFonts w:ascii="Arial Narrow" w:hAnsi="Arial Narrow" w:cs="Calibri"/>
          <w:szCs w:val="24"/>
        </w:rPr>
      </w:pPr>
      <w:r w:rsidRPr="0026339A">
        <w:rPr>
          <w:rFonts w:ascii="Arial Narrow" w:hAnsi="Arial Narrow" w:cs="Calibri"/>
          <w:szCs w:val="24"/>
        </w:rPr>
        <w:t>13. predseda vyššieho územného celku,</w:t>
      </w: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1CC984BF" w:rsidR="00D43B58" w:rsidRPr="00D43B58" w:rsidRDefault="00D43B58" w:rsidP="00D43B58">
      <w:pPr>
        <w:pStyle w:val="CTL"/>
        <w:numPr>
          <w:ilvl w:val="1"/>
          <w:numId w:val="3"/>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183DBD" w:rsidRPr="00183DBD">
        <w:rPr>
          <w:rFonts w:ascii="Arial Narrow" w:hAnsi="Arial Narrow"/>
          <w:szCs w:val="24"/>
        </w:rPr>
        <w:t>36</w:t>
      </w:r>
      <w:r w:rsidRPr="00183DBD">
        <w:rPr>
          <w:rFonts w:ascii="Arial Narrow" w:hAnsi="Arial Narrow"/>
          <w:szCs w:val="24"/>
        </w:rPr>
        <w:t xml:space="preserve"> mesiacov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77777777"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626B24" w:rsidRPr="00560622">
        <w:rPr>
          <w:rFonts w:ascii="Arial Narrow" w:hAnsi="Arial Narrow" w:cs="Calibri"/>
          <w:szCs w:val="24"/>
        </w:rPr>
        <w:t xml:space="preserve"> </w:t>
      </w:r>
      <w:r w:rsidR="00626B24" w:rsidRPr="00D43B58">
        <w:rPr>
          <w:rFonts w:ascii="Arial Narrow" w:hAnsi="Arial Narrow" w:cs="Calibri"/>
          <w:szCs w:val="24"/>
        </w:rPr>
        <w:t xml:space="preserve">do </w:t>
      </w:r>
      <w:r w:rsidR="00D43B58" w:rsidRPr="00183DBD">
        <w:rPr>
          <w:rFonts w:ascii="Arial Narrow" w:hAnsi="Arial Narrow" w:cs="Calibri"/>
          <w:szCs w:val="24"/>
        </w:rPr>
        <w:t xml:space="preserve">30 </w:t>
      </w:r>
      <w:r w:rsidR="00626B24" w:rsidRPr="00183DBD">
        <w:rPr>
          <w:rFonts w:ascii="Arial Narrow" w:hAnsi="Arial Narrow" w:cs="Calibri"/>
          <w:szCs w:val="24"/>
        </w:rPr>
        <w:t>d</w:t>
      </w:r>
      <w:r w:rsidR="00626B24" w:rsidRPr="00560622">
        <w:rPr>
          <w:rFonts w:ascii="Arial Narrow" w:hAnsi="Arial Narrow" w:cs="Calibri"/>
          <w:szCs w:val="24"/>
        </w:rPr>
        <w:t>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183DBD">
        <w:rPr>
          <w:rFonts w:ascii="Arial Narrow" w:hAnsi="Arial Narrow" w:cs="Calibri"/>
          <w:szCs w:val="24"/>
        </w:rPr>
        <w:t>do</w:t>
      </w:r>
      <w:r w:rsidR="00D43B58" w:rsidRPr="00183DBD">
        <w:rPr>
          <w:rFonts w:ascii="Arial Narrow" w:hAnsi="Arial Narrow" w:cs="Calibri"/>
          <w:szCs w:val="24"/>
        </w:rPr>
        <w:t xml:space="preserve"> 30 </w:t>
      </w:r>
      <w:r w:rsidR="008C46BC" w:rsidRPr="00183DBD">
        <w:rPr>
          <w:rFonts w:ascii="Arial Narrow" w:hAnsi="Arial Narrow" w:cs="Calibri"/>
          <w:szCs w:val="24"/>
        </w:rPr>
        <w:t xml:space="preserve"> dní</w:t>
      </w:r>
      <w:r w:rsidR="008C46BC" w:rsidRPr="00560622">
        <w:rPr>
          <w:rFonts w:ascii="Arial Narrow" w:hAnsi="Arial Narrow" w:cs="Calibri"/>
          <w:szCs w:val="24"/>
        </w:rPr>
        <w:t xml:space="preserve"> odo dňa uplatnenia reklamácie</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B63DE1B" w14:textId="1B75533A"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014C8548" w14:textId="77777777"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613A8C" w:rsidRPr="00560622">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 xml:space="preserve"> </w:t>
      </w:r>
      <w:r w:rsidR="008808C4" w:rsidRPr="00560622">
        <w:rPr>
          <w:rFonts w:ascii="Arial Narrow" w:hAnsi="Arial Narrow"/>
          <w:szCs w:val="24"/>
        </w:rPr>
        <w:t>(</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14:paraId="6FA1DBF7" w14:textId="6FD33137" w:rsidR="00F0274A" w:rsidRPr="00C2035A" w:rsidRDefault="00F0274A" w:rsidP="00AC37B3">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560622">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bookmarkStart w:id="0" w:name="_GoBack"/>
      <w:bookmarkEnd w:id="0"/>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77777777"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lastRenderedPageBreak/>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A1488C">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77777777"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 xml:space="preserve">.8.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777777" w:rsidR="001F49E2" w:rsidRPr="0056062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C2035A"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r>
      <w:r w:rsidRPr="00C2035A">
        <w:rPr>
          <w:rFonts w:ascii="Arial Narrow" w:hAnsi="Arial Narrow" w:cs="Arial"/>
          <w:sz w:val="24"/>
          <w:szCs w:val="24"/>
        </w:rPr>
        <w:t>Ministerstvo vnútra Slovenskej republiky</w:t>
      </w:r>
    </w:p>
    <w:p w14:paraId="58AA1538"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Pribinova 2</w:t>
      </w:r>
    </w:p>
    <w:p w14:paraId="0FFCF85D" w14:textId="77777777" w:rsidR="00E1263A" w:rsidRPr="00C2035A" w:rsidRDefault="00E1263A" w:rsidP="00E1263A">
      <w:pPr>
        <w:pStyle w:val="Bezriadkovania1"/>
        <w:tabs>
          <w:tab w:val="left" w:pos="567"/>
        </w:tabs>
        <w:ind w:left="709" w:hanging="567"/>
        <w:rPr>
          <w:rFonts w:ascii="Arial Narrow" w:hAnsi="Arial Narrow"/>
          <w:sz w:val="24"/>
          <w:szCs w:val="24"/>
        </w:rPr>
      </w:pPr>
      <w:r w:rsidRPr="00C2035A">
        <w:rPr>
          <w:rFonts w:ascii="Arial Narrow" w:hAnsi="Arial Narrow"/>
          <w:sz w:val="24"/>
          <w:szCs w:val="24"/>
        </w:rPr>
        <w:tab/>
        <w:t xml:space="preserve">812 72 Bratislava </w:t>
      </w:r>
    </w:p>
    <w:p w14:paraId="76D0B44A" w14:textId="4C538D76" w:rsidR="008C46BC" w:rsidRPr="00C2035A" w:rsidRDefault="00E1263A" w:rsidP="008C46BC">
      <w:pPr>
        <w:pStyle w:val="Bezriadkovania1"/>
        <w:tabs>
          <w:tab w:val="left" w:pos="567"/>
        </w:tabs>
        <w:spacing w:after="60"/>
        <w:ind w:left="709" w:hanging="567"/>
        <w:rPr>
          <w:rFonts w:ascii="Arial Narrow" w:hAnsi="Arial Narrow"/>
          <w:sz w:val="24"/>
          <w:szCs w:val="24"/>
        </w:rPr>
      </w:pPr>
      <w:r w:rsidRPr="00C2035A">
        <w:rPr>
          <w:rFonts w:ascii="Arial Narrow" w:hAnsi="Arial Narrow"/>
          <w:sz w:val="24"/>
          <w:szCs w:val="24"/>
        </w:rPr>
        <w:tab/>
      </w:r>
      <w:r w:rsidR="008C46BC" w:rsidRPr="00C2035A">
        <w:rPr>
          <w:rFonts w:ascii="Arial Narrow" w:hAnsi="Arial Narrow"/>
          <w:sz w:val="24"/>
          <w:szCs w:val="24"/>
        </w:rPr>
        <w:t>k rukám:</w:t>
      </w:r>
      <w:r w:rsidR="005320C3" w:rsidRPr="00C2035A">
        <w:rPr>
          <w:rFonts w:ascii="Arial Narrow" w:hAnsi="Arial Narrow"/>
          <w:sz w:val="24"/>
          <w:szCs w:val="24"/>
        </w:rPr>
        <w:t xml:space="preserve"> </w:t>
      </w:r>
      <w:proofErr w:type="spellStart"/>
      <w:r w:rsidR="00BE554A" w:rsidRPr="00BE554A">
        <w:rPr>
          <w:rFonts w:ascii="Arial Narrow" w:hAnsi="Arial Narrow"/>
          <w:sz w:val="24"/>
          <w:szCs w:val="24"/>
          <w:highlight w:val="yellow"/>
        </w:rPr>
        <w:t>xxxxxx</w:t>
      </w:r>
      <w:proofErr w:type="spellEnd"/>
      <w:r w:rsidR="005320C3" w:rsidRPr="00C2035A">
        <w:rPr>
          <w:rFonts w:ascii="Arial Narrow" w:hAnsi="Arial Narrow"/>
          <w:sz w:val="24"/>
          <w:szCs w:val="24"/>
        </w:rPr>
        <w:t xml:space="preserve"> </w:t>
      </w:r>
      <w:r w:rsidR="008C46BC" w:rsidRPr="00C2035A">
        <w:rPr>
          <w:rFonts w:ascii="Arial Narrow" w:hAnsi="Arial Narrow"/>
          <w:sz w:val="24"/>
          <w:szCs w:val="24"/>
        </w:rPr>
        <w:tab/>
      </w:r>
      <w:r w:rsidR="008C46BC" w:rsidRPr="00C2035A">
        <w:rPr>
          <w:rFonts w:ascii="Arial Narrow" w:hAnsi="Arial Narrow"/>
          <w:sz w:val="24"/>
          <w:szCs w:val="24"/>
        </w:rPr>
        <w:tab/>
      </w:r>
    </w:p>
    <w:p w14:paraId="3FA1770A" w14:textId="1BB75A96"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C2035A">
        <w:rPr>
          <w:rFonts w:ascii="Arial Narrow" w:hAnsi="Arial Narrow"/>
          <w:sz w:val="24"/>
          <w:szCs w:val="24"/>
        </w:rPr>
        <w:t xml:space="preserve">   </w:t>
      </w:r>
      <w:r w:rsidRPr="00C2035A">
        <w:rPr>
          <w:rFonts w:ascii="Arial Narrow" w:hAnsi="Arial Narrow"/>
          <w:sz w:val="24"/>
          <w:szCs w:val="24"/>
        </w:rPr>
        <w:tab/>
        <w:t xml:space="preserve">email: </w:t>
      </w:r>
      <w:proofErr w:type="spellStart"/>
      <w:r w:rsidR="00BE554A" w:rsidRPr="00BE554A">
        <w:rPr>
          <w:rFonts w:ascii="Arial Narrow" w:hAnsi="Arial Narrow"/>
          <w:sz w:val="24"/>
          <w:szCs w:val="24"/>
          <w:highlight w:val="yellow"/>
        </w:rPr>
        <w:t>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lastRenderedPageBreak/>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560622" w:rsidRDefault="00613A8C" w:rsidP="006E6235">
      <w:pPr>
        <w:pStyle w:val="Odsekzoznamu"/>
        <w:tabs>
          <w:tab w:val="left" w:pos="567"/>
        </w:tabs>
        <w:spacing w:after="60"/>
        <w:ind w:left="709" w:hanging="567"/>
        <w:jc w:val="both"/>
        <w:rPr>
          <w:rFonts w:ascii="Arial Narrow" w:hAnsi="Arial Narrow"/>
          <w:bCs/>
          <w:sz w:val="24"/>
          <w:szCs w:val="24"/>
          <w:highlight w:val="yellow"/>
        </w:rPr>
      </w:pPr>
      <w:r w:rsidRPr="00560622">
        <w:rPr>
          <w:rFonts w:ascii="Arial Narrow" w:hAnsi="Arial Narrow" w:cs="Arial"/>
          <w:sz w:val="24"/>
          <w:szCs w:val="24"/>
          <w:highlight w:val="yellow"/>
        </w:rPr>
        <w:tab/>
      </w:r>
      <w:proofErr w:type="spellStart"/>
      <w:r w:rsidR="00485F33" w:rsidRPr="00560622">
        <w:rPr>
          <w:rFonts w:ascii="Arial Narrow" w:hAnsi="Arial Narrow" w:cs="Arial"/>
          <w:sz w:val="24"/>
          <w:szCs w:val="24"/>
          <w:highlight w:val="yellow"/>
        </w:rPr>
        <w:t>xxxxxxxxxxxx</w:t>
      </w:r>
      <w:proofErr w:type="spellEnd"/>
    </w:p>
    <w:p w14:paraId="26CE87F0"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w:t>
      </w:r>
      <w:proofErr w:type="spellEnd"/>
    </w:p>
    <w:p w14:paraId="5C41CAF1" w14:textId="77777777" w:rsidR="00485F33" w:rsidRPr="00560622" w:rsidRDefault="00613A8C" w:rsidP="006E6235">
      <w:pPr>
        <w:pStyle w:val="Bezriadkovania1"/>
        <w:tabs>
          <w:tab w:val="left" w:pos="567"/>
        </w:tabs>
        <w:spacing w:after="60"/>
        <w:ind w:left="709" w:hanging="567"/>
        <w:rPr>
          <w:rFonts w:ascii="Arial Narrow" w:hAnsi="Arial Narrow"/>
          <w:sz w:val="24"/>
          <w:szCs w:val="24"/>
          <w:highlight w:val="yellow"/>
        </w:rPr>
      </w:pPr>
      <w:r w:rsidRPr="00560622">
        <w:rPr>
          <w:rFonts w:ascii="Arial Narrow" w:hAnsi="Arial Narrow"/>
          <w:sz w:val="24"/>
          <w:szCs w:val="24"/>
          <w:highlight w:val="yellow"/>
        </w:rPr>
        <w:tab/>
      </w:r>
      <w:proofErr w:type="spellStart"/>
      <w:r w:rsidR="00485F33" w:rsidRPr="00560622">
        <w:rPr>
          <w:rFonts w:ascii="Arial Narrow" w:hAnsi="Arial Narrow"/>
          <w:sz w:val="24"/>
          <w:szCs w:val="24"/>
          <w:highlight w:val="yellow"/>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560622">
        <w:rPr>
          <w:rFonts w:ascii="Arial Narrow" w:hAnsi="Arial Narrow"/>
          <w:sz w:val="24"/>
          <w:szCs w:val="24"/>
          <w:highlight w:val="yellow"/>
        </w:rPr>
        <w:t xml:space="preserve"> </w:t>
      </w:r>
      <w:proofErr w:type="spellStart"/>
      <w:r w:rsidR="00485F33" w:rsidRPr="00560622">
        <w:rPr>
          <w:rFonts w:ascii="Arial Narrow" w:hAnsi="Arial Narrow"/>
          <w:sz w:val="24"/>
          <w:szCs w:val="24"/>
          <w:highlight w:val="yellow"/>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560622">
        <w:rPr>
          <w:rFonts w:ascii="Arial Narrow" w:hAnsi="Arial Narrow"/>
          <w:sz w:val="24"/>
          <w:szCs w:val="24"/>
          <w:highlight w:val="yellow"/>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 xml:space="preserve">v súlade so zákonom č. 40/1964 Zb. Občiansky zákonník v znení neskorších predpisov, a ktorými sa menia a dopĺňajú niektoré zákony.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3ABC878C" w14:textId="15BEBE6A" w:rsidR="00741744" w:rsidRPr="00560622" w:rsidRDefault="00741744" w:rsidP="00CC2904">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 xml:space="preserve">Táto zmluva nadobudne účinnosť </w:t>
      </w:r>
      <w:r w:rsidRPr="00560622">
        <w:rPr>
          <w:rFonts w:ascii="Arial Narrow" w:hAnsi="Arial Narrow"/>
          <w:sz w:val="24"/>
          <w:szCs w:val="24"/>
        </w:rPr>
        <w:t>až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lastRenderedPageBreak/>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77777777" w:rsidR="00FC2417" w:rsidRPr="00560622"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127B5C">
        <w:rPr>
          <w:rFonts w:ascii="Arial Narrow" w:hAnsi="Arial Narrow"/>
          <w:sz w:val="24"/>
          <w:szCs w:val="24"/>
          <w:highlight w:val="yellow"/>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F8E1" w14:textId="77777777" w:rsidR="00EA65A8" w:rsidRDefault="00EA65A8" w:rsidP="006E6235">
      <w:r>
        <w:separator/>
      </w:r>
    </w:p>
  </w:endnote>
  <w:endnote w:type="continuationSeparator" w:id="0">
    <w:p w14:paraId="56467E3F" w14:textId="77777777" w:rsidR="00EA65A8" w:rsidRDefault="00EA65A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7EC37E22"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6D55D5">
              <w:rPr>
                <w:bCs/>
                <w:noProof/>
              </w:rPr>
              <w:t>6</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6D55D5">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F6E42" w14:textId="77777777" w:rsidR="00EA65A8" w:rsidRDefault="00EA65A8" w:rsidP="006E6235">
      <w:r>
        <w:separator/>
      </w:r>
    </w:p>
  </w:footnote>
  <w:footnote w:type="continuationSeparator" w:id="0">
    <w:p w14:paraId="3D699D9C" w14:textId="77777777" w:rsidR="00EA65A8" w:rsidRDefault="00EA65A8"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2733B"/>
    <w:rsid w:val="000815C8"/>
    <w:rsid w:val="00094AC0"/>
    <w:rsid w:val="00097ED2"/>
    <w:rsid w:val="000A644D"/>
    <w:rsid w:val="000B10D9"/>
    <w:rsid w:val="000B21C1"/>
    <w:rsid w:val="000B3AA8"/>
    <w:rsid w:val="000D28A9"/>
    <w:rsid w:val="000E2F2D"/>
    <w:rsid w:val="000E63B6"/>
    <w:rsid w:val="000F0F2B"/>
    <w:rsid w:val="000F28BD"/>
    <w:rsid w:val="001005FA"/>
    <w:rsid w:val="001035E7"/>
    <w:rsid w:val="00110388"/>
    <w:rsid w:val="00127B5C"/>
    <w:rsid w:val="00141BD9"/>
    <w:rsid w:val="00144AD6"/>
    <w:rsid w:val="00153E4C"/>
    <w:rsid w:val="00154C42"/>
    <w:rsid w:val="00170351"/>
    <w:rsid w:val="00173C02"/>
    <w:rsid w:val="00183DBD"/>
    <w:rsid w:val="00187522"/>
    <w:rsid w:val="001A1BAB"/>
    <w:rsid w:val="001A1D1B"/>
    <w:rsid w:val="001B01D3"/>
    <w:rsid w:val="001B5406"/>
    <w:rsid w:val="001F49E2"/>
    <w:rsid w:val="00224947"/>
    <w:rsid w:val="0026339A"/>
    <w:rsid w:val="002672D5"/>
    <w:rsid w:val="002761BF"/>
    <w:rsid w:val="00285C9D"/>
    <w:rsid w:val="00286383"/>
    <w:rsid w:val="00287E51"/>
    <w:rsid w:val="00297497"/>
    <w:rsid w:val="002A05ED"/>
    <w:rsid w:val="002B3C9A"/>
    <w:rsid w:val="002C3622"/>
    <w:rsid w:val="002D73F8"/>
    <w:rsid w:val="002E2C9D"/>
    <w:rsid w:val="003148C1"/>
    <w:rsid w:val="0032107B"/>
    <w:rsid w:val="0034246B"/>
    <w:rsid w:val="00350A41"/>
    <w:rsid w:val="00360582"/>
    <w:rsid w:val="00363E6B"/>
    <w:rsid w:val="00386FA2"/>
    <w:rsid w:val="003B06AC"/>
    <w:rsid w:val="003B3DFB"/>
    <w:rsid w:val="003D1B32"/>
    <w:rsid w:val="003D2F55"/>
    <w:rsid w:val="003D7909"/>
    <w:rsid w:val="003E2B86"/>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E1006"/>
    <w:rsid w:val="004E22F4"/>
    <w:rsid w:val="004F1B98"/>
    <w:rsid w:val="004F4EA7"/>
    <w:rsid w:val="004F5455"/>
    <w:rsid w:val="00503DEC"/>
    <w:rsid w:val="00513182"/>
    <w:rsid w:val="0052010E"/>
    <w:rsid w:val="005320C3"/>
    <w:rsid w:val="00532C5D"/>
    <w:rsid w:val="0054359B"/>
    <w:rsid w:val="00543852"/>
    <w:rsid w:val="00545155"/>
    <w:rsid w:val="00554EC0"/>
    <w:rsid w:val="00560622"/>
    <w:rsid w:val="00563A0C"/>
    <w:rsid w:val="00565125"/>
    <w:rsid w:val="00582DCF"/>
    <w:rsid w:val="0059331A"/>
    <w:rsid w:val="005C47AE"/>
    <w:rsid w:val="005C47C6"/>
    <w:rsid w:val="005C4D3C"/>
    <w:rsid w:val="005D1538"/>
    <w:rsid w:val="005D55E8"/>
    <w:rsid w:val="005E7BC5"/>
    <w:rsid w:val="005F0DEE"/>
    <w:rsid w:val="006037E3"/>
    <w:rsid w:val="006056F6"/>
    <w:rsid w:val="00613A8C"/>
    <w:rsid w:val="006208A8"/>
    <w:rsid w:val="00621B8E"/>
    <w:rsid w:val="00625A80"/>
    <w:rsid w:val="00626B24"/>
    <w:rsid w:val="00641960"/>
    <w:rsid w:val="006459FE"/>
    <w:rsid w:val="006710D7"/>
    <w:rsid w:val="00675C28"/>
    <w:rsid w:val="00680DCA"/>
    <w:rsid w:val="00684CE9"/>
    <w:rsid w:val="00693E11"/>
    <w:rsid w:val="006B19B5"/>
    <w:rsid w:val="006C25A5"/>
    <w:rsid w:val="006C30F1"/>
    <w:rsid w:val="006D55D5"/>
    <w:rsid w:val="006E6235"/>
    <w:rsid w:val="006E757E"/>
    <w:rsid w:val="006F1081"/>
    <w:rsid w:val="006F78A8"/>
    <w:rsid w:val="00701D18"/>
    <w:rsid w:val="00703DB6"/>
    <w:rsid w:val="00704F9D"/>
    <w:rsid w:val="00706452"/>
    <w:rsid w:val="00706B33"/>
    <w:rsid w:val="007301F2"/>
    <w:rsid w:val="00734EA2"/>
    <w:rsid w:val="00737FAA"/>
    <w:rsid w:val="00741744"/>
    <w:rsid w:val="00761A8E"/>
    <w:rsid w:val="00766400"/>
    <w:rsid w:val="0077096A"/>
    <w:rsid w:val="00772FCE"/>
    <w:rsid w:val="007859D9"/>
    <w:rsid w:val="007A1CE8"/>
    <w:rsid w:val="007B453C"/>
    <w:rsid w:val="007C7F2F"/>
    <w:rsid w:val="007E2863"/>
    <w:rsid w:val="007F32BF"/>
    <w:rsid w:val="008453DC"/>
    <w:rsid w:val="00866950"/>
    <w:rsid w:val="008808C4"/>
    <w:rsid w:val="008903B7"/>
    <w:rsid w:val="008911FF"/>
    <w:rsid w:val="008A2A3D"/>
    <w:rsid w:val="008A3759"/>
    <w:rsid w:val="008B250C"/>
    <w:rsid w:val="008B7A63"/>
    <w:rsid w:val="008C420E"/>
    <w:rsid w:val="008C46BC"/>
    <w:rsid w:val="008C78CC"/>
    <w:rsid w:val="008E0385"/>
    <w:rsid w:val="008E1AA4"/>
    <w:rsid w:val="008E5017"/>
    <w:rsid w:val="0091435F"/>
    <w:rsid w:val="0092116C"/>
    <w:rsid w:val="00930F80"/>
    <w:rsid w:val="00945EA5"/>
    <w:rsid w:val="00964845"/>
    <w:rsid w:val="00970C2D"/>
    <w:rsid w:val="009716F2"/>
    <w:rsid w:val="00973437"/>
    <w:rsid w:val="009B0246"/>
    <w:rsid w:val="009B2474"/>
    <w:rsid w:val="009D4970"/>
    <w:rsid w:val="009E5D1A"/>
    <w:rsid w:val="00A04F38"/>
    <w:rsid w:val="00A1488C"/>
    <w:rsid w:val="00A23C81"/>
    <w:rsid w:val="00A324FA"/>
    <w:rsid w:val="00A350F5"/>
    <w:rsid w:val="00A46671"/>
    <w:rsid w:val="00A500AC"/>
    <w:rsid w:val="00A5714C"/>
    <w:rsid w:val="00A82F42"/>
    <w:rsid w:val="00A91034"/>
    <w:rsid w:val="00AA5611"/>
    <w:rsid w:val="00AC37B3"/>
    <w:rsid w:val="00AC67C2"/>
    <w:rsid w:val="00AD44DF"/>
    <w:rsid w:val="00B104DE"/>
    <w:rsid w:val="00B5627F"/>
    <w:rsid w:val="00B60143"/>
    <w:rsid w:val="00B95A00"/>
    <w:rsid w:val="00BA2865"/>
    <w:rsid w:val="00BB427D"/>
    <w:rsid w:val="00BE554A"/>
    <w:rsid w:val="00BF0AE1"/>
    <w:rsid w:val="00C1403F"/>
    <w:rsid w:val="00C2035A"/>
    <w:rsid w:val="00C61439"/>
    <w:rsid w:val="00C84572"/>
    <w:rsid w:val="00C85957"/>
    <w:rsid w:val="00CA1ED4"/>
    <w:rsid w:val="00CC2904"/>
    <w:rsid w:val="00CE13E9"/>
    <w:rsid w:val="00D0046D"/>
    <w:rsid w:val="00D43B58"/>
    <w:rsid w:val="00D5473D"/>
    <w:rsid w:val="00D705FC"/>
    <w:rsid w:val="00D73D13"/>
    <w:rsid w:val="00D92443"/>
    <w:rsid w:val="00DA05EA"/>
    <w:rsid w:val="00DA58A1"/>
    <w:rsid w:val="00DA7BC4"/>
    <w:rsid w:val="00DB27EC"/>
    <w:rsid w:val="00DB4DE5"/>
    <w:rsid w:val="00DB4E19"/>
    <w:rsid w:val="00DE521C"/>
    <w:rsid w:val="00DE6451"/>
    <w:rsid w:val="00DF3E82"/>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4AB3"/>
    <w:rsid w:val="00E7246A"/>
    <w:rsid w:val="00EA1188"/>
    <w:rsid w:val="00EA3B0C"/>
    <w:rsid w:val="00EA65A8"/>
    <w:rsid w:val="00EC5B77"/>
    <w:rsid w:val="00ED72DF"/>
    <w:rsid w:val="00EE5DE2"/>
    <w:rsid w:val="00EF0B84"/>
    <w:rsid w:val="00F0274A"/>
    <w:rsid w:val="00F167DD"/>
    <w:rsid w:val="00F31467"/>
    <w:rsid w:val="00F325DC"/>
    <w:rsid w:val="00F432CD"/>
    <w:rsid w:val="00F50D9F"/>
    <w:rsid w:val="00F825A4"/>
    <w:rsid w:val="00F85137"/>
    <w:rsid w:val="00F90427"/>
    <w:rsid w:val="00FA2A04"/>
    <w:rsid w:val="00FB6406"/>
    <w:rsid w:val="00FC2417"/>
    <w:rsid w:val="00FC3EA0"/>
    <w:rsid w:val="00FC5D6D"/>
    <w:rsid w:val="00FC68E9"/>
    <w:rsid w:val="00FD2E21"/>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FDB076D7-A82F-42EF-909E-490BE36A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996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646D-930D-4C4B-9ED3-8FF87E5A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3022</Words>
  <Characters>17228</Characters>
  <Application>Microsoft Office Word</Application>
  <DocSecurity>0</DocSecurity>
  <Lines>143</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Alexander Starčevič</cp:lastModifiedBy>
  <cp:revision>9</cp:revision>
  <cp:lastPrinted>2020-09-23T13:30:00Z</cp:lastPrinted>
  <dcterms:created xsi:type="dcterms:W3CDTF">2022-05-09T10:55:00Z</dcterms:created>
  <dcterms:modified xsi:type="dcterms:W3CDTF">2022-08-09T09:33:00Z</dcterms:modified>
</cp:coreProperties>
</file>