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</w:t>
      </w:r>
      <w:r w:rsidR="002C0B53">
        <w:rPr>
          <w:rFonts w:ascii="Times New Roman" w:hAnsi="Times New Roman" w:cs="Times New Roman"/>
          <w:b/>
          <w:bCs/>
          <w:sz w:val="24"/>
          <w:szCs w:val="24"/>
        </w:rPr>
        <w:t>: xxx/2022</w:t>
      </w:r>
      <w:r w:rsidR="00EE351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C0B53">
        <w:rPr>
          <w:rFonts w:ascii="Times New Roman" w:hAnsi="Times New Roman" w:cs="Times New Roman"/>
          <w:b/>
          <w:bCs/>
          <w:sz w:val="24"/>
          <w:szCs w:val="24"/>
        </w:rPr>
        <w:t>LSR</w:t>
      </w:r>
      <w:bookmarkStart w:id="0" w:name="_GoBack"/>
      <w:bookmarkEnd w:id="0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265BAE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34E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špecifikácia predmetu zákazky, predpokladané množstvá a platné jednotkové ceny v </w:t>
      </w:r>
      <w:r w:rsidR="00EE351D"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F5178D" w:rsidRPr="00F5178D">
        <w:rPr>
          <w:rFonts w:ascii="Times New Roman" w:hAnsi="Times New Roman" w:cs="Times New Roman"/>
          <w:b/>
          <w:sz w:val="24"/>
          <w:szCs w:val="24"/>
        </w:rPr>
        <w:t>Textilné výrobky pre vybavenie hotelov, účelových zariadení a</w:t>
      </w:r>
      <w:r w:rsidR="00EE351D">
        <w:rPr>
          <w:rFonts w:ascii="Times New Roman" w:hAnsi="Times New Roman" w:cs="Times New Roman"/>
          <w:b/>
          <w:sz w:val="24"/>
          <w:szCs w:val="24"/>
        </w:rPr>
        <w:t> </w:t>
      </w:r>
      <w:r w:rsidR="00F5178D" w:rsidRPr="00F5178D">
        <w:rPr>
          <w:rFonts w:ascii="Times New Roman" w:hAnsi="Times New Roman" w:cs="Times New Roman"/>
          <w:b/>
          <w:sz w:val="24"/>
          <w:szCs w:val="24"/>
        </w:rPr>
        <w:t>chát</w:t>
      </w:r>
      <w:r w:rsidR="00EE351D">
        <w:rPr>
          <w:rFonts w:ascii="Times New Roman" w:hAnsi="Times New Roman" w:cs="Times New Roman"/>
          <w:b/>
          <w:sz w:val="24"/>
          <w:szCs w:val="24"/>
        </w:rPr>
        <w:t xml:space="preserve"> bez </w:t>
      </w:r>
      <w:r w:rsidR="00870C71">
        <w:rPr>
          <w:rFonts w:ascii="Times New Roman" w:hAnsi="Times New Roman" w:cs="Times New Roman"/>
          <w:b/>
          <w:sz w:val="24"/>
          <w:szCs w:val="24"/>
        </w:rPr>
        <w:t>loga</w:t>
      </w:r>
      <w:r w:rsidR="00234E38" w:rsidRPr="001D3CDA">
        <w:rPr>
          <w:rFonts w:ascii="Times New Roman" w:hAnsi="Times New Roman" w:cs="Times New Roman"/>
          <w:b/>
        </w:rPr>
        <w:t>.</w:t>
      </w:r>
      <w:r w:rsidR="000C475A" w:rsidRPr="001D3C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616F04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EE351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EE351D">
        <w:rPr>
          <w:rFonts w:ascii="Times New Roman" w:hAnsi="Times New Roman" w:cs="Times New Roman"/>
          <w:sz w:val="24"/>
          <w:szCs w:val="24"/>
          <w:highlight w:val="yellow"/>
        </w:rPr>
        <w:t xml:space="preserve"> a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581FBA" w:rsidRPr="00BA39BB" w:rsidRDefault="00910148" w:rsidP="0009663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A39BB">
        <w:rPr>
          <w:rFonts w:ascii="Times New Roman" w:hAnsi="Times New Roman" w:cs="Times New Roman"/>
          <w:sz w:val="24"/>
          <w:szCs w:val="24"/>
        </w:rPr>
        <w:t xml:space="preserve">Miesto dodania je 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LESY Slovenskej republiky, štátny podnik, </w:t>
      </w:r>
      <w:r w:rsidRPr="000D3117">
        <w:rPr>
          <w:rFonts w:ascii="Times New Roman" w:hAnsi="Times New Roman" w:cs="Times New Roman"/>
          <w:b/>
          <w:sz w:val="24"/>
          <w:szCs w:val="24"/>
        </w:rPr>
        <w:t>Praco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visko obchodnej prevádzky, </w:t>
      </w:r>
      <w:r w:rsidRPr="000D3117">
        <w:rPr>
          <w:rFonts w:ascii="Times New Roman" w:hAnsi="Times New Roman" w:cs="Times New Roman"/>
          <w:b/>
          <w:sz w:val="24"/>
          <w:szCs w:val="24"/>
        </w:rPr>
        <w:t>Mičinská</w:t>
      </w:r>
      <w:r w:rsidR="000D3117" w:rsidRPr="000D3117">
        <w:rPr>
          <w:rFonts w:ascii="Times New Roman" w:hAnsi="Times New Roman" w:cs="Times New Roman"/>
          <w:b/>
          <w:sz w:val="24"/>
          <w:szCs w:val="24"/>
        </w:rPr>
        <w:t xml:space="preserve"> cesta 33/4406, Banská Bystrica</w:t>
      </w:r>
      <w:r w:rsidR="000D3117">
        <w:rPr>
          <w:rFonts w:ascii="Times New Roman" w:hAnsi="Times New Roman" w:cs="Times New Roman"/>
          <w:sz w:val="24"/>
          <w:szCs w:val="24"/>
        </w:rPr>
        <w:t>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910148" w:rsidRPr="001D3CDA">
        <w:rPr>
          <w:rFonts w:ascii="Times New Roman" w:hAnsi="Times New Roman" w:cs="Times New Roman"/>
          <w:sz w:val="24"/>
          <w:szCs w:val="24"/>
        </w:rPr>
        <w:t>0</w:t>
      </w:r>
      <w:r w:rsidRPr="001D3CDA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0D3117" w:rsidRDefault="000D3117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886C76" w:rsidRPr="001D3CDA" w:rsidRDefault="00886C7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000A49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2141" w:rsidRPr="00000A49" w:rsidRDefault="00315365" w:rsidP="001E214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0A49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00A49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00A49">
        <w:rPr>
          <w:rFonts w:ascii="Times New Roman" w:hAnsi="Times New Roman" w:cs="Times New Roman"/>
          <w:sz w:val="24"/>
          <w:szCs w:val="24"/>
        </w:rPr>
        <w:t>odovzdaný v mieste dodania</w:t>
      </w:r>
      <w:r w:rsidR="001E2141" w:rsidRPr="00000A49">
        <w:rPr>
          <w:rFonts w:ascii="Times New Roman" w:hAnsi="Times New Roman" w:cs="Times New Roman"/>
          <w:sz w:val="24"/>
          <w:szCs w:val="24"/>
        </w:rPr>
        <w:t xml:space="preserve"> s podmienkou dodržania povinností uvedených v odseku 2 tohto článku.</w:t>
      </w:r>
    </w:p>
    <w:p w:rsidR="00FD357A" w:rsidRPr="00000A49" w:rsidRDefault="00FD357A" w:rsidP="001E214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6C76" w:rsidRDefault="00886C76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6C76" w:rsidRDefault="00886C76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6C76" w:rsidRPr="001D3CDA" w:rsidRDefault="00886C76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2141" w:rsidRPr="00000A49" w:rsidRDefault="00910148" w:rsidP="001E2141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tak úprava ceny vo výške priemernej miery inflácie / deflácie </w:t>
      </w:r>
      <w:r w:rsidR="00E149C9" w:rsidRPr="00000A49">
        <w:rPr>
          <w:rFonts w:ascii="Times New Roman" w:hAnsi="Times New Roman" w:cs="Times New Roman"/>
          <w:bCs/>
          <w:sz w:val="24"/>
          <w:szCs w:val="24"/>
        </w:rPr>
        <w:t>pre úpravu v tom ktorom roku je neprenosná do nasledujúcich roko</w:t>
      </w:r>
      <w:r w:rsidR="00700A82" w:rsidRPr="00000A49">
        <w:rPr>
          <w:rFonts w:ascii="Times New Roman" w:hAnsi="Times New Roman" w:cs="Times New Roman"/>
          <w:bCs/>
          <w:sz w:val="24"/>
          <w:szCs w:val="24"/>
        </w:rPr>
        <w:t>v</w:t>
      </w:r>
      <w:r w:rsidR="00261A2B" w:rsidRPr="00000A49">
        <w:rPr>
          <w:rFonts w:ascii="Times New Roman" w:hAnsi="Times New Roman" w:cs="Times New Roman"/>
          <w:bCs/>
          <w:sz w:val="24"/>
          <w:szCs w:val="24"/>
        </w:rPr>
        <w:t xml:space="preserve"> a toto právo zaniká neuplatnením v stanovenom čase</w:t>
      </w:r>
      <w:r w:rsidRPr="00000A49">
        <w:rPr>
          <w:rFonts w:ascii="Times New Roman" w:hAnsi="Times New Roman" w:cs="Times New Roman"/>
          <w:bCs/>
          <w:sz w:val="24"/>
          <w:szCs w:val="24"/>
        </w:rPr>
        <w:t>. Týmto dodatkom sa upraví aj celkový finančný limit spôsobom uvedeným v čl. II. odseku 3 tejto rámcovej dohody</w:t>
      </w:r>
      <w:r w:rsidR="00261A2B" w:rsidRPr="00000A49">
        <w:rPr>
          <w:rFonts w:ascii="Times New Roman" w:hAnsi="Times New Roman" w:cs="Times New Roman"/>
          <w:bCs/>
          <w:sz w:val="24"/>
          <w:szCs w:val="24"/>
        </w:rPr>
        <w:t xml:space="preserve"> ako aj v ods. 3 tohto článku</w:t>
      </w:r>
      <w:r w:rsidRPr="00000A49">
        <w:rPr>
          <w:rFonts w:ascii="Times New Roman" w:hAnsi="Times New Roman" w:cs="Times New Roman"/>
          <w:bCs/>
          <w:sz w:val="24"/>
          <w:szCs w:val="24"/>
        </w:rPr>
        <w:t>.</w:t>
      </w:r>
      <w:r w:rsidR="001E2141" w:rsidRPr="00000A49">
        <w:rPr>
          <w:rFonts w:ascii="Times New Roman" w:hAnsi="Times New Roman" w:cs="Times New Roman"/>
          <w:bCs/>
          <w:sz w:val="24"/>
          <w:szCs w:val="24"/>
        </w:rPr>
        <w:t xml:space="preserve"> Zmenu ceny na základe tohto odstavca je  možné uplatniť najskôr po 1.1.2024.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EE351D" w:rsidRPr="00EE351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 EUR </w:t>
      </w:r>
      <w:r w:rsidR="00037628" w:rsidRPr="00EE351D">
        <w:rPr>
          <w:rFonts w:ascii="Times New Roman" w:hAnsi="Times New Roman" w:cs="Times New Roman"/>
          <w:sz w:val="24"/>
          <w:szCs w:val="24"/>
          <w:highlight w:val="yellow"/>
        </w:rPr>
        <w:t>bez DPH</w:t>
      </w:r>
      <w:r w:rsidRPr="00EE351D">
        <w:rPr>
          <w:rFonts w:ascii="Times New Roman" w:hAnsi="Times New Roman" w:cs="Times New Roman"/>
          <w:bCs/>
          <w:sz w:val="24"/>
          <w:szCs w:val="24"/>
          <w:highlight w:val="yellow"/>
        </w:rPr>
        <w:t>,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pričom ak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 </w:t>
      </w:r>
      <w:r w:rsidRPr="00EE351D">
        <w:rPr>
          <w:rFonts w:ascii="Times New Roman" w:hAnsi="Times New Roman" w:cs="Times New Roman"/>
          <w:sz w:val="24"/>
          <w:szCs w:val="24"/>
        </w:rPr>
        <w:t xml:space="preserve">0,1 % z celkovej ceny 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EE351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EE351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EE351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EE351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51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EE351D">
        <w:t xml:space="preserve"> </w:t>
      </w:r>
      <w:r w:rsidR="00037628" w:rsidRPr="00EE351D">
        <w:rPr>
          <w:rFonts w:ascii="Times New Roman" w:hAnsi="Times New Roman" w:cs="Times New Roman"/>
          <w:sz w:val="24"/>
          <w:szCs w:val="24"/>
        </w:rPr>
        <w:t>bez DPH</w:t>
      </w:r>
      <w:r w:rsidRPr="00EE351D">
        <w:rPr>
          <w:rFonts w:ascii="Times New Roman" w:hAnsi="Times New Roman" w:cs="Times New Roman"/>
          <w:sz w:val="24"/>
          <w:szCs w:val="24"/>
        </w:rPr>
        <w:t xml:space="preserve"> za každý deň</w:t>
      </w:r>
      <w:r w:rsidR="00F36AF9" w:rsidRPr="00EE351D">
        <w:rPr>
          <w:rFonts w:ascii="Times New Roman" w:hAnsi="Times New Roman" w:cs="Times New Roman"/>
          <w:sz w:val="24"/>
          <w:szCs w:val="24"/>
        </w:rPr>
        <w:t xml:space="preserve"> </w:t>
      </w:r>
      <w:r w:rsidRPr="00EE351D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715B60" w:rsidRPr="00715B60" w:rsidRDefault="00715B60" w:rsidP="00715B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86C76" w:rsidRDefault="00886C76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86C76" w:rsidRDefault="00886C76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86C76" w:rsidRPr="001D3CDA" w:rsidRDefault="00886C76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EE351D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Príloha č.1. 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707B3B" w:rsidRPr="00707B3B" w:rsidRDefault="00707B3B" w:rsidP="00707B3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707B3B" w:rsidRPr="00707B3B" w:rsidRDefault="00707B3B" w:rsidP="00707B3B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Fonts w:ascii="Times New Roman" w:hAnsi="Times New Roman" w:cs="Times New Roman"/>
          <w:iCs/>
          <w:sz w:val="24"/>
          <w:szCs w:val="24"/>
        </w:rPr>
        <w:t>Kupujúci je povinný pri výbere subdodávateľov rešpektovať článok 5k Nariadenia Rady (EÚ) č. 833/2014 z 31. júla 2014 o reštriktívnych opatreniach s ohľadom na konanie Ruska,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7B3B">
        <w:rPr>
          <w:rFonts w:ascii="Times New Roman" w:hAnsi="Times New Roman" w:cs="Times New Roman"/>
          <w:iCs/>
          <w:sz w:val="24"/>
          <w:szCs w:val="24"/>
        </w:rPr>
        <w:t xml:space="preserve">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707B3B" w:rsidRPr="00707B3B" w:rsidRDefault="00707B3B" w:rsidP="00707B3B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707B3B" w:rsidRPr="00707B3B" w:rsidRDefault="00707B3B" w:rsidP="00707B3B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707B3B" w:rsidRPr="00707B3B" w:rsidRDefault="00707B3B" w:rsidP="00707B3B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707B3B" w:rsidRPr="00707B3B" w:rsidRDefault="00707B3B" w:rsidP="00707B3B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7B3B"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707B3B">
        <w:rPr>
          <w:rFonts w:ascii="Times New Roman" w:hAnsi="Times New Roman" w:cs="Times New Roman"/>
          <w:iCs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EE351D" w:rsidP="00EE351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315365"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265BAE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265B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E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AAA" w:rsidRPr="00EE351D">
        <w:rPr>
          <w:rFonts w:ascii="Times New Roman" w:hAnsi="Times New Roman" w:cs="Times New Roman"/>
          <w:b/>
          <w:sz w:val="24"/>
          <w:szCs w:val="24"/>
        </w:rPr>
        <w:t>g</w:t>
      </w:r>
      <w:r w:rsidRPr="00EE351D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886C76" w:rsidRDefault="00886C76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Príloha č. 1_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Podrobná špecifikácia predmetu zákazky, predpokladané množstvá a platné jednotkové ceny v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EUR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bez DPH</w:t>
      </w:r>
    </w:p>
    <w:p w:rsidR="00EE351D" w:rsidRDefault="00EE351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EE351D" w:rsidRPr="00EE351D" w:rsidRDefault="00E5328F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</w:rPr>
      </w:pPr>
      <w:r w:rsidRPr="00E5328F">
        <w:rPr>
          <w:noProof/>
          <w:lang w:eastAsia="sk-SK"/>
        </w:rPr>
        <w:drawing>
          <wp:inline distT="0" distB="0" distL="0" distR="0">
            <wp:extent cx="5760720" cy="8059556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351D" w:rsidRPr="00EE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44" w:rsidRDefault="00871E44" w:rsidP="00B86821">
      <w:pPr>
        <w:spacing w:after="0" w:line="240" w:lineRule="auto"/>
      </w:pPr>
      <w:r>
        <w:separator/>
      </w:r>
    </w:p>
  </w:endnote>
  <w:endnote w:type="continuationSeparator" w:id="0">
    <w:p w:rsidR="00871E44" w:rsidRDefault="00871E44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E4" w:rsidRDefault="00223E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E44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E4" w:rsidRDefault="00223E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44" w:rsidRDefault="00871E44" w:rsidP="00B86821">
      <w:pPr>
        <w:spacing w:after="0" w:line="240" w:lineRule="auto"/>
      </w:pPr>
      <w:r>
        <w:separator/>
      </w:r>
    </w:p>
  </w:footnote>
  <w:footnote w:type="continuationSeparator" w:id="0">
    <w:p w:rsidR="00871E44" w:rsidRDefault="00871E44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E4" w:rsidRDefault="00223E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E4" w:rsidRDefault="00223EE4">
    <w:pPr>
      <w:pStyle w:val="Hlavika"/>
    </w:pPr>
    <w:r>
      <w:t>Príloha č. 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E4" w:rsidRDefault="00223E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0A49"/>
    <w:rsid w:val="00001214"/>
    <w:rsid w:val="00004C6B"/>
    <w:rsid w:val="0002497B"/>
    <w:rsid w:val="000269BF"/>
    <w:rsid w:val="00037628"/>
    <w:rsid w:val="000919B2"/>
    <w:rsid w:val="000C475A"/>
    <w:rsid w:val="000D3117"/>
    <w:rsid w:val="001000DA"/>
    <w:rsid w:val="001471BC"/>
    <w:rsid w:val="00177D99"/>
    <w:rsid w:val="001A1517"/>
    <w:rsid w:val="001A6444"/>
    <w:rsid w:val="001D3CDA"/>
    <w:rsid w:val="001E2141"/>
    <w:rsid w:val="002001AB"/>
    <w:rsid w:val="00215192"/>
    <w:rsid w:val="00221CEE"/>
    <w:rsid w:val="00223EE4"/>
    <w:rsid w:val="00234E38"/>
    <w:rsid w:val="00261A2B"/>
    <w:rsid w:val="00265BAE"/>
    <w:rsid w:val="002C0B53"/>
    <w:rsid w:val="00315365"/>
    <w:rsid w:val="00347421"/>
    <w:rsid w:val="0038465A"/>
    <w:rsid w:val="00391CDF"/>
    <w:rsid w:val="003B4D01"/>
    <w:rsid w:val="0041024E"/>
    <w:rsid w:val="00417ECE"/>
    <w:rsid w:val="004714F4"/>
    <w:rsid w:val="0047685C"/>
    <w:rsid w:val="00491FB6"/>
    <w:rsid w:val="004F534C"/>
    <w:rsid w:val="0052356A"/>
    <w:rsid w:val="0052677C"/>
    <w:rsid w:val="00581FBA"/>
    <w:rsid w:val="005D000D"/>
    <w:rsid w:val="00616F04"/>
    <w:rsid w:val="00636B33"/>
    <w:rsid w:val="006475FC"/>
    <w:rsid w:val="006675ED"/>
    <w:rsid w:val="0069379D"/>
    <w:rsid w:val="006E5C34"/>
    <w:rsid w:val="00700A82"/>
    <w:rsid w:val="00707B3B"/>
    <w:rsid w:val="00711FE3"/>
    <w:rsid w:val="00715B60"/>
    <w:rsid w:val="0075713D"/>
    <w:rsid w:val="00764326"/>
    <w:rsid w:val="007B64A6"/>
    <w:rsid w:val="007E0705"/>
    <w:rsid w:val="00870C71"/>
    <w:rsid w:val="00871E44"/>
    <w:rsid w:val="00883F2E"/>
    <w:rsid w:val="00886C76"/>
    <w:rsid w:val="008879F6"/>
    <w:rsid w:val="009034EA"/>
    <w:rsid w:val="00910148"/>
    <w:rsid w:val="00910AAA"/>
    <w:rsid w:val="009E1EDB"/>
    <w:rsid w:val="00A40A44"/>
    <w:rsid w:val="00A9697D"/>
    <w:rsid w:val="00AA295F"/>
    <w:rsid w:val="00AE2CC0"/>
    <w:rsid w:val="00AF2205"/>
    <w:rsid w:val="00B10C41"/>
    <w:rsid w:val="00B55027"/>
    <w:rsid w:val="00B86821"/>
    <w:rsid w:val="00BA39BB"/>
    <w:rsid w:val="00C772AB"/>
    <w:rsid w:val="00CD2AE6"/>
    <w:rsid w:val="00D919CD"/>
    <w:rsid w:val="00E149C9"/>
    <w:rsid w:val="00E360B4"/>
    <w:rsid w:val="00E5328F"/>
    <w:rsid w:val="00ED597C"/>
    <w:rsid w:val="00EE351D"/>
    <w:rsid w:val="00EE4ADB"/>
    <w:rsid w:val="00EF1035"/>
    <w:rsid w:val="00F36AF9"/>
    <w:rsid w:val="00F5178D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D9CC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7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0E644-03EA-4592-B9D5-E217C26B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3600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22</cp:revision>
  <cp:lastPrinted>2022-04-20T11:37:00Z</cp:lastPrinted>
  <dcterms:created xsi:type="dcterms:W3CDTF">2022-04-20T11:26:00Z</dcterms:created>
  <dcterms:modified xsi:type="dcterms:W3CDTF">2022-09-21T08:31:00Z</dcterms:modified>
</cp:coreProperties>
</file>