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F41924"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26</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F41924" w:rsidRPr="00F41924">
        <w:rPr>
          <w:rFonts w:ascii="Times New Roman" w:hAnsi="Times New Roman"/>
          <w:b/>
          <w:bCs/>
          <w:sz w:val="32"/>
          <w:szCs w:val="32"/>
        </w:rPr>
        <w:t xml:space="preserve">Silnice II/292 Semily, propojení ul. </w:t>
      </w:r>
      <w:proofErr w:type="spellStart"/>
      <w:r w:rsidR="00F41924" w:rsidRPr="00F41924">
        <w:rPr>
          <w:rFonts w:ascii="Times New Roman" w:hAnsi="Times New Roman"/>
          <w:b/>
          <w:bCs/>
          <w:sz w:val="32"/>
          <w:szCs w:val="32"/>
        </w:rPr>
        <w:t>Bořkovské</w:t>
      </w:r>
      <w:proofErr w:type="spellEnd"/>
      <w:r w:rsidR="00F41924" w:rsidRPr="00F41924">
        <w:rPr>
          <w:rFonts w:ascii="Times New Roman" w:hAnsi="Times New Roman"/>
          <w:b/>
          <w:bCs/>
          <w:sz w:val="32"/>
          <w:szCs w:val="32"/>
        </w:rPr>
        <w:t xml:space="preserve"> a Brodské</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2D369E" w:rsidRDefault="00251681">
          <w:pPr>
            <w:pStyle w:val="Nadpisobsahu"/>
            <w:rPr>
              <w:rFonts w:ascii="Times New Roman" w:hAnsi="Times New Roman" w:cs="Times New Roman"/>
              <w:sz w:val="24"/>
              <w:szCs w:val="24"/>
            </w:rPr>
          </w:pPr>
          <w:r w:rsidRPr="002D369E">
            <w:rPr>
              <w:rFonts w:ascii="Times New Roman" w:hAnsi="Times New Roman" w:cs="Times New Roman"/>
              <w:sz w:val="24"/>
              <w:szCs w:val="24"/>
            </w:rPr>
            <w:t>Obsah</w:t>
          </w:r>
        </w:p>
        <w:p w:rsidR="00251681" w:rsidRPr="002D369E" w:rsidRDefault="00251681">
          <w:pPr>
            <w:pStyle w:val="Obsah1"/>
            <w:tabs>
              <w:tab w:val="left" w:pos="440"/>
              <w:tab w:val="right" w:leader="dot" w:pos="9062"/>
            </w:tabs>
            <w:rPr>
              <w:rFonts w:ascii="Times New Roman" w:eastAsiaTheme="minorEastAsia" w:hAnsi="Times New Roman"/>
              <w:noProof/>
              <w:sz w:val="24"/>
              <w:szCs w:val="24"/>
              <w:lang w:eastAsia="cs-CZ"/>
            </w:rPr>
          </w:pPr>
          <w:r w:rsidRPr="002D369E">
            <w:rPr>
              <w:rFonts w:ascii="Times New Roman" w:hAnsi="Times New Roman"/>
              <w:sz w:val="24"/>
              <w:szCs w:val="24"/>
            </w:rPr>
            <w:fldChar w:fldCharType="begin"/>
          </w:r>
          <w:r w:rsidRPr="002D369E">
            <w:rPr>
              <w:rFonts w:ascii="Times New Roman" w:hAnsi="Times New Roman"/>
              <w:sz w:val="24"/>
              <w:szCs w:val="24"/>
            </w:rPr>
            <w:instrText xml:space="preserve"> TOC \o "1-3" \h \z \u </w:instrText>
          </w:r>
          <w:r w:rsidRPr="002D369E">
            <w:rPr>
              <w:rFonts w:ascii="Times New Roman" w:hAnsi="Times New Roman"/>
              <w:sz w:val="24"/>
              <w:szCs w:val="24"/>
            </w:rPr>
            <w:fldChar w:fldCharType="separate"/>
          </w:r>
          <w:hyperlink w:anchor="_Toc536085082" w:history="1">
            <w:r w:rsidRPr="002D369E">
              <w:rPr>
                <w:rStyle w:val="Hypertextovodkaz"/>
                <w:rFonts w:ascii="Times New Roman" w:hAnsi="Times New Roman"/>
                <w:noProof/>
                <w:sz w:val="24"/>
                <w:szCs w:val="24"/>
              </w:rPr>
              <w:t>1.</w:t>
            </w:r>
            <w:r w:rsidRPr="002D369E">
              <w:rPr>
                <w:rFonts w:ascii="Times New Roman" w:eastAsiaTheme="minorEastAsia" w:hAnsi="Times New Roman"/>
                <w:noProof/>
                <w:sz w:val="24"/>
                <w:szCs w:val="24"/>
                <w:lang w:eastAsia="cs-CZ"/>
              </w:rPr>
              <w:tab/>
            </w:r>
            <w:r w:rsidRPr="002D369E">
              <w:rPr>
                <w:rStyle w:val="Hypertextovodkaz"/>
                <w:rFonts w:ascii="Times New Roman" w:hAnsi="Times New Roman"/>
                <w:noProof/>
                <w:sz w:val="24"/>
                <w:szCs w:val="24"/>
              </w:rPr>
              <w:t>Identifikační údaje veřejného zadavatele</w:t>
            </w:r>
            <w:r w:rsidRPr="002D369E">
              <w:rPr>
                <w:rFonts w:ascii="Times New Roman" w:hAnsi="Times New Roman"/>
                <w:noProof/>
                <w:webHidden/>
                <w:sz w:val="24"/>
                <w:szCs w:val="24"/>
              </w:rPr>
              <w:tab/>
            </w:r>
            <w:r w:rsidRPr="002D369E">
              <w:rPr>
                <w:rFonts w:ascii="Times New Roman" w:hAnsi="Times New Roman"/>
                <w:noProof/>
                <w:webHidden/>
                <w:sz w:val="24"/>
                <w:szCs w:val="24"/>
              </w:rPr>
              <w:fldChar w:fldCharType="begin"/>
            </w:r>
            <w:r w:rsidRPr="002D369E">
              <w:rPr>
                <w:rFonts w:ascii="Times New Roman" w:hAnsi="Times New Roman"/>
                <w:noProof/>
                <w:webHidden/>
                <w:sz w:val="24"/>
                <w:szCs w:val="24"/>
              </w:rPr>
              <w:instrText xml:space="preserve"> PAGEREF _Toc536085082 \h </w:instrText>
            </w:r>
            <w:r w:rsidRPr="002D369E">
              <w:rPr>
                <w:rFonts w:ascii="Times New Roman" w:hAnsi="Times New Roman"/>
                <w:noProof/>
                <w:webHidden/>
                <w:sz w:val="24"/>
                <w:szCs w:val="24"/>
              </w:rPr>
            </w:r>
            <w:r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2</w:t>
            </w:r>
            <w:r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2D369E">
              <w:rPr>
                <w:rStyle w:val="Hypertextovodkaz"/>
                <w:rFonts w:ascii="Times New Roman" w:hAnsi="Times New Roman"/>
                <w:noProof/>
                <w:sz w:val="24"/>
                <w:szCs w:val="24"/>
              </w:rPr>
              <w:t>2.</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Informace o  druhu a  předmětu veřejné zakázky</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_Toc536085083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2</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2D369E">
              <w:rPr>
                <w:rStyle w:val="Hypertextovodkaz"/>
                <w:rFonts w:ascii="Times New Roman" w:hAnsi="Times New Roman"/>
                <w:noProof/>
                <w:sz w:val="24"/>
                <w:szCs w:val="24"/>
              </w:rPr>
              <w:t>3.</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Doba realizace zakázky</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_Toc536085088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3</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2D369E">
              <w:rPr>
                <w:rStyle w:val="Hypertextovodkaz"/>
                <w:rFonts w:ascii="Times New Roman" w:hAnsi="Times New Roman"/>
                <w:noProof/>
                <w:sz w:val="24"/>
                <w:szCs w:val="24"/>
              </w:rPr>
              <w:t>4.</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Předpokládaná hodnota veřejné zakázky</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_Toc536085089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4</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2D369E">
              <w:rPr>
                <w:rStyle w:val="Hypertextovodkaz"/>
                <w:rFonts w:ascii="Times New Roman" w:hAnsi="Times New Roman"/>
                <w:noProof/>
                <w:sz w:val="24"/>
                <w:szCs w:val="24"/>
              </w:rPr>
              <w:t>5.</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Místo plnění a  prohlídka místa plnění</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_Toc536085090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4</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2D369E">
              <w:rPr>
                <w:rStyle w:val="Hypertextovodkaz"/>
                <w:rFonts w:ascii="Times New Roman" w:hAnsi="Times New Roman"/>
                <w:noProof/>
                <w:sz w:val="24"/>
                <w:szCs w:val="24"/>
              </w:rPr>
              <w:t>6.</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Podmínky poskytnutí zadávací dokumentace a  vysvětlení zadávací dokumentace</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_Toc536085091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4</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2D369E">
              <w:rPr>
                <w:rStyle w:val="Hypertextovodkaz"/>
                <w:rFonts w:ascii="Times New Roman" w:hAnsi="Times New Roman"/>
                <w:noProof/>
                <w:sz w:val="24"/>
                <w:szCs w:val="24"/>
              </w:rPr>
              <w:t>7.</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Způsob, lhůta a  místo pro podání nabídek, kontaktní osoba zadavatele</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_Toc536085092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4</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2D369E">
              <w:rPr>
                <w:rStyle w:val="Hypertextovodkaz"/>
                <w:rFonts w:ascii="Times New Roman" w:hAnsi="Times New Roman"/>
                <w:noProof/>
                <w:sz w:val="24"/>
                <w:szCs w:val="24"/>
              </w:rPr>
              <w:t>8.</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Požadavky na prokázání splnění kvalifikace</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_Toc536085093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5</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2D369E">
              <w:rPr>
                <w:rStyle w:val="Hypertextovodkaz"/>
                <w:rFonts w:ascii="Times New Roman" w:hAnsi="Times New Roman"/>
                <w:noProof/>
                <w:sz w:val="24"/>
                <w:szCs w:val="24"/>
              </w:rPr>
              <w:t>9.</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Obchodní a  platební podmínky, návrh smlouvy</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_Toc536085101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8</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2D369E">
              <w:rPr>
                <w:rStyle w:val="Hypertextovodkaz"/>
                <w:rFonts w:ascii="Times New Roman" w:hAnsi="Times New Roman"/>
                <w:noProof/>
                <w:sz w:val="24"/>
                <w:szCs w:val="24"/>
              </w:rPr>
              <w:t>10.</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Požadavky na způsob zpracování nabídkové ceny a  nabídky</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_Toc536085102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8</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2D369E">
              <w:rPr>
                <w:rStyle w:val="Hypertextovodkaz"/>
                <w:rFonts w:ascii="Times New Roman" w:hAnsi="Times New Roman"/>
                <w:noProof/>
                <w:sz w:val="24"/>
                <w:szCs w:val="24"/>
              </w:rPr>
              <w:t>11.</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Způsob hodnocení nabídek</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_Toc536085105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10</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2D369E">
              <w:rPr>
                <w:rStyle w:val="Hypertextovodkaz"/>
                <w:rFonts w:ascii="Times New Roman" w:hAnsi="Times New Roman"/>
                <w:noProof/>
                <w:sz w:val="24"/>
                <w:szCs w:val="24"/>
              </w:rPr>
              <w:t>12.</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Další podmínky a  vyhrazená práva zadavatele</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_Toc536085109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11</w:t>
            </w:r>
            <w:r w:rsidR="00251681" w:rsidRPr="002D369E">
              <w:rPr>
                <w:rFonts w:ascii="Times New Roman" w:hAnsi="Times New Roman"/>
                <w:noProof/>
                <w:webHidden/>
                <w:sz w:val="24"/>
                <w:szCs w:val="24"/>
              </w:rPr>
              <w:fldChar w:fldCharType="end"/>
            </w:r>
          </w:hyperlink>
        </w:p>
        <w:p w:rsidR="00251681" w:rsidRPr="002D369E" w:rsidRDefault="00D24C26">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2D369E">
              <w:rPr>
                <w:rStyle w:val="Hypertextovodkaz"/>
                <w:rFonts w:ascii="Times New Roman" w:hAnsi="Times New Roman"/>
                <w:noProof/>
                <w:sz w:val="24"/>
                <w:szCs w:val="24"/>
              </w:rPr>
              <w:t>13.</w:t>
            </w:r>
            <w:r w:rsidR="00251681" w:rsidRPr="002D369E">
              <w:rPr>
                <w:rFonts w:ascii="Times New Roman" w:eastAsiaTheme="minorEastAsia" w:hAnsi="Times New Roman"/>
                <w:noProof/>
                <w:sz w:val="24"/>
                <w:szCs w:val="24"/>
                <w:lang w:eastAsia="cs-CZ"/>
              </w:rPr>
              <w:tab/>
            </w:r>
            <w:r w:rsidR="00251681" w:rsidRPr="002D369E">
              <w:rPr>
                <w:rStyle w:val="Hypertextovodkaz"/>
                <w:rFonts w:ascii="Times New Roman" w:hAnsi="Times New Roman"/>
                <w:noProof/>
                <w:sz w:val="24"/>
                <w:szCs w:val="24"/>
              </w:rPr>
              <w:t>Přílohy</w:t>
            </w:r>
            <w:r w:rsidR="00251681" w:rsidRPr="002D369E">
              <w:rPr>
                <w:rFonts w:ascii="Times New Roman" w:hAnsi="Times New Roman"/>
                <w:noProof/>
                <w:webHidden/>
                <w:sz w:val="24"/>
                <w:szCs w:val="24"/>
              </w:rPr>
              <w:tab/>
            </w:r>
            <w:r w:rsidR="00251681" w:rsidRPr="002D369E">
              <w:rPr>
                <w:rFonts w:ascii="Times New Roman" w:hAnsi="Times New Roman"/>
                <w:noProof/>
                <w:webHidden/>
                <w:sz w:val="24"/>
                <w:szCs w:val="24"/>
              </w:rPr>
              <w:fldChar w:fldCharType="begin"/>
            </w:r>
            <w:r w:rsidR="00251681" w:rsidRPr="002D369E">
              <w:rPr>
                <w:rFonts w:ascii="Times New Roman" w:hAnsi="Times New Roman"/>
                <w:noProof/>
                <w:webHidden/>
                <w:sz w:val="24"/>
                <w:szCs w:val="24"/>
              </w:rPr>
              <w:instrText xml:space="preserve"> PAGEREF _Toc536085110 \h </w:instrText>
            </w:r>
            <w:r w:rsidR="00251681" w:rsidRPr="002D369E">
              <w:rPr>
                <w:rFonts w:ascii="Times New Roman" w:hAnsi="Times New Roman"/>
                <w:noProof/>
                <w:webHidden/>
                <w:sz w:val="24"/>
                <w:szCs w:val="24"/>
              </w:rPr>
            </w:r>
            <w:r w:rsidR="00251681" w:rsidRPr="002D369E">
              <w:rPr>
                <w:rFonts w:ascii="Times New Roman" w:hAnsi="Times New Roman"/>
                <w:noProof/>
                <w:webHidden/>
                <w:sz w:val="24"/>
                <w:szCs w:val="24"/>
              </w:rPr>
              <w:fldChar w:fldCharType="separate"/>
            </w:r>
            <w:r w:rsidR="00954580">
              <w:rPr>
                <w:rFonts w:ascii="Times New Roman" w:hAnsi="Times New Roman"/>
                <w:noProof/>
                <w:webHidden/>
                <w:sz w:val="24"/>
                <w:szCs w:val="24"/>
              </w:rPr>
              <w:t>12</w:t>
            </w:r>
            <w:r w:rsidR="00251681" w:rsidRPr="002D369E">
              <w:rPr>
                <w:rFonts w:ascii="Times New Roman" w:hAnsi="Times New Roman"/>
                <w:noProof/>
                <w:webHidden/>
                <w:sz w:val="24"/>
                <w:szCs w:val="24"/>
              </w:rPr>
              <w:fldChar w:fldCharType="end"/>
            </w:r>
          </w:hyperlink>
        </w:p>
        <w:p w:rsidR="00251681" w:rsidRDefault="00251681">
          <w:r w:rsidRPr="002D369E">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Pr="00406D35" w:rsidRDefault="00AE3392"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0" w:name="_Toc536085082"/>
      <w:r w:rsidRPr="00406D35">
        <w:t>Identifikační údaje veřejného zadavatele</w:t>
      </w:r>
      <w:bookmarkEnd w:id="0"/>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1"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1"/>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lastRenderedPageBreak/>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2" w:name="_Toc536085084"/>
      <w:r w:rsidRPr="00AE3392">
        <w:rPr>
          <w:sz w:val="24"/>
        </w:rPr>
        <w:t xml:space="preserve">Průzkumy </w:t>
      </w:r>
      <w:r w:rsidR="008876E1" w:rsidRPr="00AE3392">
        <w:rPr>
          <w:sz w:val="24"/>
        </w:rPr>
        <w:t>a </w:t>
      </w:r>
      <w:r w:rsidRPr="00AE3392">
        <w:rPr>
          <w:sz w:val="24"/>
        </w:rPr>
        <w:t xml:space="preserve"> zaměření</w:t>
      </w:r>
      <w:bookmarkEnd w:id="2"/>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3" w:name="_Toc536085085"/>
      <w:r w:rsidRPr="00AE3392">
        <w:rPr>
          <w:sz w:val="24"/>
        </w:rPr>
        <w:t>Projektová dokumentace ke stavebnímu povolení v podrobnosti dokumentace k provádění stavby (DSP/PDPS)</w:t>
      </w:r>
      <w:bookmarkEnd w:id="3"/>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4" w:name="_Toc349419425"/>
      <w:bookmarkStart w:id="5" w:name="_Toc536085086"/>
      <w:r w:rsidRPr="00AE3392">
        <w:rPr>
          <w:sz w:val="24"/>
        </w:rPr>
        <w:t xml:space="preserve">Inženýrská činnost </w:t>
      </w:r>
      <w:r w:rsidR="008876E1" w:rsidRPr="00AE3392">
        <w:rPr>
          <w:sz w:val="24"/>
        </w:rPr>
        <w:t>a </w:t>
      </w:r>
      <w:r w:rsidRPr="00AE3392">
        <w:rPr>
          <w:sz w:val="24"/>
        </w:rPr>
        <w:t xml:space="preserve"> </w:t>
      </w:r>
      <w:bookmarkEnd w:id="4"/>
      <w:r w:rsidR="009E6749" w:rsidRPr="00AE3392">
        <w:rPr>
          <w:sz w:val="24"/>
        </w:rPr>
        <w:t>zajištění povolení stavby</w:t>
      </w:r>
      <w:bookmarkEnd w:id="5"/>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747065">
        <w:rPr>
          <w:rFonts w:ascii="Times New Roman" w:hAnsi="Times New Roman"/>
          <w:sz w:val="24"/>
        </w:rPr>
        <w:t>2</w:t>
      </w:r>
      <w:r w:rsidR="00ED103F" w:rsidRPr="00406D35">
        <w:rPr>
          <w:rFonts w:ascii="Times New Roman" w:hAnsi="Times New Roman"/>
          <w:sz w:val="24"/>
        </w:rPr>
        <w:t xml:space="preserve">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6" w:name="_Toc536085087"/>
      <w:r w:rsidRPr="00AE3392">
        <w:rPr>
          <w:sz w:val="24"/>
        </w:rPr>
        <w:t>Autorský dozor během realizace akce</w:t>
      </w:r>
      <w:bookmarkEnd w:id="6"/>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7" w:name="_Toc536085088"/>
      <w:r w:rsidRPr="00AE3392">
        <w:t>Doba realizace</w:t>
      </w:r>
      <w:r w:rsidR="00FF6D57" w:rsidRPr="00AE3392">
        <w:t xml:space="preserve"> zakázky</w:t>
      </w:r>
      <w:bookmarkEnd w:id="7"/>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w:t>
            </w:r>
            <w:proofErr w:type="spellStart"/>
            <w:r w:rsidRPr="00406D35">
              <w:rPr>
                <w:rFonts w:ascii="Times New Roman" w:hAnsi="Times New Roman"/>
                <w:sz w:val="24"/>
              </w:rPr>
              <w:t>majetko</w:t>
            </w:r>
            <w:proofErr w:type="spellEnd"/>
            <w:r w:rsidRPr="00406D35">
              <w:rPr>
                <w:rFonts w:ascii="Times New Roman" w:hAnsi="Times New Roman"/>
                <w:sz w:val="24"/>
              </w:rPr>
              <w:t>-právních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A45097">
            <w:pPr>
              <w:spacing w:after="0" w:line="240" w:lineRule="auto"/>
              <w:rPr>
                <w:rFonts w:ascii="Times New Roman" w:hAnsi="Times New Roman"/>
                <w:sz w:val="24"/>
              </w:rPr>
            </w:pPr>
            <w:r w:rsidRPr="00406D35">
              <w:rPr>
                <w:rFonts w:ascii="Times New Roman" w:hAnsi="Times New Roman"/>
                <w:sz w:val="24"/>
              </w:rPr>
              <w:t xml:space="preserve">do </w:t>
            </w:r>
            <w:r w:rsidR="00A45097">
              <w:rPr>
                <w:rFonts w:ascii="Times New Roman" w:hAnsi="Times New Roman"/>
                <w:sz w:val="24"/>
              </w:rPr>
              <w:t>90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A45097">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A45097">
              <w:rPr>
                <w:rFonts w:ascii="Times New Roman" w:hAnsi="Times New Roman"/>
                <w:sz w:val="24"/>
              </w:rPr>
              <w:t>45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A45097">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A45097">
              <w:rPr>
                <w:rFonts w:ascii="Times New Roman" w:hAnsi="Times New Roman"/>
                <w:sz w:val="24"/>
              </w:rPr>
              <w:t>75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lastRenderedPageBreak/>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F7281A" w:rsidP="001C6BCC">
            <w:pPr>
              <w:spacing w:after="0" w:line="240" w:lineRule="auto"/>
              <w:rPr>
                <w:rFonts w:ascii="Times New Roman" w:hAnsi="Times New Roman"/>
                <w:sz w:val="24"/>
              </w:rPr>
            </w:pPr>
            <w:r>
              <w:rPr>
                <w:rFonts w:ascii="Times New Roman" w:hAnsi="Times New Roman"/>
                <w:sz w:val="24"/>
              </w:rPr>
              <w:lastRenderedPageBreak/>
              <w:t>ve lhůtách správních orgánů</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lastRenderedPageBreak/>
              <w:t>po celou dobu zadávacího řízení na realizace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lastRenderedPageBreak/>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8" w:name="_Toc536085089"/>
      <w:r w:rsidRPr="00AE3392">
        <w:t>P</w:t>
      </w:r>
      <w:r w:rsidR="003A6AD1" w:rsidRPr="00AE3392">
        <w:t xml:space="preserve">ředpokládaná hodnota </w:t>
      </w:r>
      <w:r w:rsidR="00723A7F" w:rsidRPr="00AE3392">
        <w:t>veřejné zakázky</w:t>
      </w:r>
      <w:bookmarkEnd w:id="8"/>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A45097">
        <w:rPr>
          <w:b/>
          <w:sz w:val="24"/>
          <w:szCs w:val="22"/>
        </w:rPr>
        <w:t>1.496.920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9" w:name="_Toc536085090"/>
      <w:r w:rsidRPr="00AE3392">
        <w:t xml:space="preserve">Místo plnění </w:t>
      </w:r>
      <w:r w:rsidR="008876E1" w:rsidRPr="00AE3392">
        <w:t>a </w:t>
      </w:r>
      <w:r w:rsidRPr="00AE3392">
        <w:t xml:space="preserve"> prohlídka místa plnění</w:t>
      </w:r>
      <w:bookmarkEnd w:id="9"/>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0"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0"/>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1"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1"/>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410930">
        <w:rPr>
          <w:rFonts w:ascii="Times New Roman" w:eastAsia="Times New Roman" w:hAnsi="Times New Roman"/>
          <w:b/>
          <w:bCs/>
          <w:sz w:val="24"/>
          <w:lang w:eastAsia="cs-CZ"/>
        </w:rPr>
        <w:t>10</w:t>
      </w:r>
      <w:r w:rsidR="005B0207" w:rsidRPr="00406D35">
        <w:rPr>
          <w:rFonts w:ascii="Times New Roman" w:eastAsia="Times New Roman" w:hAnsi="Times New Roman"/>
          <w:b/>
          <w:bCs/>
          <w:sz w:val="24"/>
          <w:lang w:eastAsia="cs-CZ"/>
        </w:rPr>
        <w:t xml:space="preserve">. </w:t>
      </w:r>
      <w:r w:rsidR="00A45097">
        <w:rPr>
          <w:rFonts w:ascii="Times New Roman" w:eastAsia="Times New Roman" w:hAnsi="Times New Roman"/>
          <w:b/>
          <w:bCs/>
          <w:sz w:val="24"/>
          <w:lang w:eastAsia="cs-CZ"/>
        </w:rPr>
        <w:t>4</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A45097">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lastRenderedPageBreak/>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2" w:name="_Toc536085093"/>
      <w:r w:rsidRPr="00AE3392">
        <w:t xml:space="preserve">Požadavky na </w:t>
      </w:r>
      <w:r w:rsidR="00221F78" w:rsidRPr="00AE3392">
        <w:t>prokázání splnění kvalifikace</w:t>
      </w:r>
      <w:bookmarkEnd w:id="12"/>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50DBF" w:rsidRPr="00406D35" w:rsidRDefault="00550DBF" w:rsidP="00360FF1">
      <w:pPr>
        <w:pStyle w:val="text-nov"/>
        <w:spacing w:after="120"/>
        <w:rPr>
          <w:rFonts w:eastAsia="Calibri"/>
          <w:szCs w:val="22"/>
          <w:lang w:eastAsia="en-US"/>
        </w:rPr>
      </w:pPr>
      <w:r w:rsidRPr="00406D35">
        <w:t xml:space="preserve">Před uzavřením smlouvy je vybraný dodavatel povinen předložit kopie dokladů o  kvalifikaci (pokud již nebyly ve výběrovém řízení na </w:t>
      </w:r>
      <w:r w:rsidR="00B36DA5">
        <w:t xml:space="preserve">tuto nebo jinou </w:t>
      </w:r>
      <w:r w:rsidRPr="00406D35">
        <w:t>veřejnou zakázku předloženy).</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Veškeré doklady k prokázání kvalifikace je účastník v nabídce oprávněn předložit v prosté kopii (např. </w:t>
      </w:r>
      <w:proofErr w:type="spellStart"/>
      <w:r>
        <w:rPr>
          <w:rFonts w:ascii="Times New Roman" w:hAnsi="Times New Roman"/>
          <w:sz w:val="24"/>
        </w:rPr>
        <w:t>scan</w:t>
      </w:r>
      <w:proofErr w:type="spellEnd"/>
      <w:r>
        <w:rPr>
          <w:rFonts w:ascii="Times New Roman" w:hAnsi="Times New Roman"/>
          <w:sz w:val="24"/>
        </w:rPr>
        <w:t>).</w:t>
      </w:r>
    </w:p>
    <w:p w:rsidR="009B1DCF" w:rsidRPr="00AE3392" w:rsidRDefault="009B1DCF" w:rsidP="00AE3392">
      <w:pPr>
        <w:pStyle w:val="Nadpis1"/>
        <w:numPr>
          <w:ilvl w:val="1"/>
          <w:numId w:val="32"/>
        </w:numPr>
        <w:rPr>
          <w:sz w:val="24"/>
        </w:rPr>
      </w:pPr>
      <w:bookmarkStart w:id="13" w:name="_Toc536085094"/>
      <w:r w:rsidRPr="00AE3392">
        <w:rPr>
          <w:sz w:val="24"/>
        </w:rPr>
        <w:t>Základní způsobilost</w:t>
      </w:r>
      <w:bookmarkEnd w:id="13"/>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4" w:name="_Toc536085095"/>
      <w:r w:rsidRPr="00AE3392">
        <w:rPr>
          <w:sz w:val="24"/>
        </w:rPr>
        <w:lastRenderedPageBreak/>
        <w:t>Profesní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550DBF">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F7281A" w:rsidRDefault="00C36EA2" w:rsidP="00F7281A">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5" w:name="_Hlk505330901"/>
      <w:r w:rsidRPr="00F7281A">
        <w:rPr>
          <w:rFonts w:ascii="Times New Roman" w:hAnsi="Times New Roman"/>
          <w:sz w:val="24"/>
        </w:rPr>
        <w:t xml:space="preserve">osvědčení autorizovaného inženýra pro </w:t>
      </w:r>
      <w:r w:rsidR="000841B5" w:rsidRPr="00F7281A">
        <w:rPr>
          <w:rFonts w:ascii="Times New Roman" w:hAnsi="Times New Roman"/>
          <w:sz w:val="24"/>
        </w:rPr>
        <w:t xml:space="preserve">obor </w:t>
      </w:r>
      <w:r w:rsidR="00262688" w:rsidRPr="00F7281A">
        <w:rPr>
          <w:rFonts w:ascii="Times New Roman" w:hAnsi="Times New Roman"/>
          <w:bCs/>
          <w:sz w:val="24"/>
          <w:u w:val="single"/>
        </w:rPr>
        <w:t>dopravní stavby</w:t>
      </w:r>
      <w:r w:rsidR="00262688" w:rsidRPr="00F7281A">
        <w:rPr>
          <w:rFonts w:ascii="Times New Roman" w:hAnsi="Times New Roman"/>
          <w:bCs/>
          <w:sz w:val="24"/>
        </w:rPr>
        <w:t xml:space="preserve"> nebo technika </w:t>
      </w:r>
      <w:r w:rsidR="00262688" w:rsidRPr="00F7281A">
        <w:rPr>
          <w:rFonts w:ascii="Times New Roman" w:hAnsi="Times New Roman"/>
          <w:bCs/>
          <w:sz w:val="24"/>
          <w:u w:val="single"/>
        </w:rPr>
        <w:t>pro obor dopravní stavby, nekolejová doprava</w:t>
      </w:r>
      <w:r w:rsidR="00E65FEE" w:rsidRPr="00F7281A">
        <w:rPr>
          <w:rFonts w:ascii="Times New Roman" w:hAnsi="Times New Roman"/>
          <w:bCs/>
          <w:sz w:val="24"/>
        </w:rPr>
        <w:t xml:space="preserve"> </w:t>
      </w:r>
      <w:r w:rsidR="00E65FEE" w:rsidRPr="00F7281A">
        <w:rPr>
          <w:rFonts w:ascii="Times New Roman" w:hAnsi="Times New Roman"/>
          <w:sz w:val="24"/>
        </w:rPr>
        <w:t>(zadavatel upozorňuje, že je-li prokazováno jinou osobou než účastníkem, či zaměstnancem účastníka, je taková osoba jinou osobou ve smyslu § 83 zákona).</w:t>
      </w:r>
      <w:bookmarkEnd w:id="15"/>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6"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F76CA1" w:rsidRDefault="00F76CA1" w:rsidP="00F76CA1">
      <w:pPr>
        <w:pStyle w:val="Odstavecseseznamem"/>
        <w:numPr>
          <w:ilvl w:val="0"/>
          <w:numId w:val="18"/>
        </w:numPr>
        <w:spacing w:after="0" w:line="240" w:lineRule="auto"/>
        <w:contextualSpacing w:val="0"/>
        <w:jc w:val="both"/>
        <w:rPr>
          <w:rFonts w:ascii="Times New Roman" w:hAnsi="Times New Roman"/>
          <w:sz w:val="24"/>
        </w:rPr>
      </w:pPr>
      <w:r w:rsidRPr="006222F0">
        <w:rPr>
          <w:rFonts w:ascii="Times New Roman" w:hAnsi="Times New Roman"/>
          <w:sz w:val="24"/>
        </w:rPr>
        <w:t xml:space="preserve">min. </w:t>
      </w:r>
      <w:r>
        <w:rPr>
          <w:rFonts w:ascii="Times New Roman" w:hAnsi="Times New Roman"/>
          <w:sz w:val="24"/>
        </w:rPr>
        <w:t>2</w:t>
      </w:r>
      <w:r w:rsidRPr="006222F0">
        <w:rPr>
          <w:rFonts w:ascii="Times New Roman" w:hAnsi="Times New Roman"/>
          <w:sz w:val="24"/>
        </w:rPr>
        <w:t xml:space="preserve"> služb</w:t>
      </w:r>
      <w:r>
        <w:rPr>
          <w:rFonts w:ascii="Times New Roman" w:hAnsi="Times New Roman"/>
          <w:sz w:val="24"/>
        </w:rPr>
        <w:t>y</w:t>
      </w:r>
      <w:r w:rsidRPr="006222F0">
        <w:rPr>
          <w:rFonts w:ascii="Times New Roman" w:hAnsi="Times New Roman"/>
          <w:sz w:val="24"/>
        </w:rPr>
        <w:t xml:space="preserve"> na zpracování projektové dokumentace pro rekonstrukci nebo opravu nebo novostavbu silniční dopravní stavby, s minimální hodnotou </w:t>
      </w:r>
      <w:r>
        <w:rPr>
          <w:rFonts w:ascii="Times New Roman" w:hAnsi="Times New Roman"/>
          <w:sz w:val="24"/>
        </w:rPr>
        <w:t>každé</w:t>
      </w:r>
      <w:r w:rsidRPr="006222F0">
        <w:rPr>
          <w:rFonts w:ascii="Times New Roman" w:hAnsi="Times New Roman"/>
          <w:sz w:val="24"/>
        </w:rPr>
        <w:t xml:space="preserve"> služby ve výši </w:t>
      </w:r>
      <w:r w:rsidR="00410930">
        <w:rPr>
          <w:rFonts w:ascii="Times New Roman" w:hAnsi="Times New Roman"/>
          <w:sz w:val="24"/>
        </w:rPr>
        <w:t>750</w:t>
      </w:r>
      <w:r>
        <w:rPr>
          <w:rFonts w:ascii="Times New Roman" w:hAnsi="Times New Roman"/>
          <w:sz w:val="24"/>
        </w:rPr>
        <w:t>.000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bookmarkStart w:id="17" w:name="_GoBack"/>
      <w:bookmarkEnd w:id="17"/>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w:t>
      </w:r>
      <w:r w:rsidRPr="006222F0">
        <w:rPr>
          <w:rFonts w:ascii="Times New Roman" w:hAnsi="Times New Roman"/>
          <w:sz w:val="24"/>
        </w:rPr>
        <w:lastRenderedPageBreak/>
        <w:t>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6"/>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w:t>
      </w:r>
      <w:r w:rsidRPr="00406D35">
        <w:rPr>
          <w:rFonts w:ascii="Times New Roman" w:hAnsi="Times New Roman"/>
          <w:sz w:val="24"/>
        </w:rPr>
        <w:lastRenderedPageBreak/>
        <w:t xml:space="preserve">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lastRenderedPageBreak/>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w:t>
      </w:r>
      <w:r w:rsidRPr="00406D35">
        <w:rPr>
          <w:rFonts w:ascii="Times New Roman" w:hAnsi="Times New Roman"/>
          <w:sz w:val="24"/>
        </w:rPr>
        <w:lastRenderedPageBreak/>
        <w:t xml:space="preserve">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747065">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747065">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410930">
        <w:rPr>
          <w:sz w:val="24"/>
        </w:rPr>
        <w:t xml:space="preserve"> </w:t>
      </w:r>
      <w:r w:rsidRPr="00AE3392">
        <w:rPr>
          <w:sz w:val="24"/>
        </w:rPr>
        <w:t>%</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AE3392">
      <w:pPr>
        <w:pStyle w:val="Nadpis1"/>
        <w:numPr>
          <w:ilvl w:val="1"/>
          <w:numId w:val="32"/>
        </w:numPr>
        <w:rPr>
          <w:sz w:val="24"/>
        </w:rPr>
      </w:pPr>
      <w:bookmarkStart w:id="30"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Pr="00AE3392">
        <w:rPr>
          <w:sz w:val="24"/>
        </w:rPr>
        <w:t>10 %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lastRenderedPageBreak/>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49330D">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5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49330D">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5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251681">
      <w:pPr>
        <w:pStyle w:val="Nadpis1"/>
        <w:numPr>
          <w:ilvl w:val="1"/>
          <w:numId w:val="32"/>
        </w:numPr>
        <w:rPr>
          <w:sz w:val="24"/>
        </w:rPr>
      </w:pPr>
      <w:bookmarkStart w:id="32" w:name="_Toc536085108"/>
      <w:bookmarkEnd w:id="31"/>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251681">
      <w:pPr>
        <w:pStyle w:val="Nadpis1"/>
        <w:numPr>
          <w:ilvl w:val="0"/>
          <w:numId w:val="32"/>
        </w:numPr>
        <w:jc w:val="both"/>
      </w:pPr>
      <w:bookmarkStart w:id="33"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251681">
      <w:pPr>
        <w:pStyle w:val="Nadpis1"/>
        <w:numPr>
          <w:ilvl w:val="0"/>
          <w:numId w:val="32"/>
        </w:numPr>
        <w:jc w:val="both"/>
      </w:pPr>
      <w:bookmarkStart w:id="37" w:name="_Toc536085110"/>
      <w:r w:rsidRPr="00251681">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211691">
        <w:rPr>
          <w:rFonts w:ascii="Times New Roman" w:hAnsi="Times New Roman"/>
          <w:sz w:val="24"/>
          <w:szCs w:val="24"/>
        </w:rPr>
        <w:t>25</w:t>
      </w:r>
      <w:r w:rsidR="000841B5">
        <w:rPr>
          <w:rFonts w:ascii="Times New Roman" w:hAnsi="Times New Roman"/>
          <w:sz w:val="24"/>
          <w:szCs w:val="24"/>
        </w:rPr>
        <w:t>.</w:t>
      </w:r>
      <w:r w:rsidR="00BA3AD9" w:rsidRPr="00406D35">
        <w:rPr>
          <w:rFonts w:ascii="Times New Roman" w:hAnsi="Times New Roman"/>
          <w:sz w:val="24"/>
          <w:szCs w:val="24"/>
        </w:rPr>
        <w:t xml:space="preserve"> </w:t>
      </w:r>
      <w:r w:rsidR="00410930">
        <w:rPr>
          <w:rFonts w:ascii="Times New Roman" w:hAnsi="Times New Roman"/>
          <w:sz w:val="24"/>
          <w:szCs w:val="24"/>
        </w:rPr>
        <w:t>3</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26" w:rsidRDefault="00D24C26" w:rsidP="005343A3">
      <w:pPr>
        <w:spacing w:after="0" w:line="240" w:lineRule="auto"/>
      </w:pPr>
      <w:r>
        <w:separator/>
      </w:r>
    </w:p>
  </w:endnote>
  <w:endnote w:type="continuationSeparator" w:id="0">
    <w:p w:rsidR="00D24C26" w:rsidRDefault="00D24C26" w:rsidP="005343A3">
      <w:pPr>
        <w:spacing w:after="0" w:line="240" w:lineRule="auto"/>
      </w:pPr>
      <w:r>
        <w:continuationSeparator/>
      </w:r>
    </w:p>
  </w:endnote>
  <w:endnote w:type="continuationNotice" w:id="1">
    <w:p w:rsidR="00D24C26" w:rsidRDefault="00D24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F7281A">
      <w:rPr>
        <w:rFonts w:ascii="Times New Roman" w:hAnsi="Times New Roman"/>
        <w:noProof/>
        <w:sz w:val="18"/>
        <w:szCs w:val="18"/>
      </w:rPr>
      <w:t>3</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26" w:rsidRDefault="00D24C26" w:rsidP="005343A3">
      <w:pPr>
        <w:spacing w:after="0" w:line="240" w:lineRule="auto"/>
      </w:pPr>
      <w:r>
        <w:separator/>
      </w:r>
    </w:p>
  </w:footnote>
  <w:footnote w:type="continuationSeparator" w:id="0">
    <w:p w:rsidR="00D24C26" w:rsidRDefault="00D24C26" w:rsidP="005343A3">
      <w:pPr>
        <w:spacing w:after="0" w:line="240" w:lineRule="auto"/>
      </w:pPr>
      <w:r>
        <w:continuationSeparator/>
      </w:r>
    </w:p>
  </w:footnote>
  <w:footnote w:type="continuationNotice" w:id="1">
    <w:p w:rsidR="00D24C26" w:rsidRDefault="00D24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9"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7"/>
  </w:num>
  <w:num w:numId="2">
    <w:abstractNumId w:val="19"/>
  </w:num>
  <w:num w:numId="3">
    <w:abstractNumId w:val="22"/>
  </w:num>
  <w:num w:numId="4">
    <w:abstractNumId w:val="10"/>
  </w:num>
  <w:num w:numId="5">
    <w:abstractNumId w:val="8"/>
  </w:num>
  <w:num w:numId="6">
    <w:abstractNumId w:val="4"/>
  </w:num>
  <w:num w:numId="7">
    <w:abstractNumId w:val="29"/>
  </w:num>
  <w:num w:numId="8">
    <w:abstractNumId w:val="26"/>
  </w:num>
  <w:num w:numId="9">
    <w:abstractNumId w:val="3"/>
  </w:num>
  <w:num w:numId="10">
    <w:abstractNumId w:val="15"/>
  </w:num>
  <w:num w:numId="11">
    <w:abstractNumId w:val="28"/>
  </w:num>
  <w:num w:numId="12">
    <w:abstractNumId w:val="21"/>
  </w:num>
  <w:num w:numId="13">
    <w:abstractNumId w:val="21"/>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2"/>
  </w:num>
  <w:num w:numId="15">
    <w:abstractNumId w:val="0"/>
  </w:num>
  <w:num w:numId="16">
    <w:abstractNumId w:val="14"/>
  </w:num>
  <w:num w:numId="17">
    <w:abstractNumId w:val="13"/>
  </w:num>
  <w:num w:numId="18">
    <w:abstractNumId w:val="9"/>
  </w:num>
  <w:num w:numId="19">
    <w:abstractNumId w:val="1"/>
  </w:num>
  <w:num w:numId="20">
    <w:abstractNumId w:val="18"/>
  </w:num>
  <w:num w:numId="21">
    <w:abstractNumId w:val="7"/>
  </w:num>
  <w:num w:numId="22">
    <w:abstractNumId w:val="2"/>
  </w:num>
  <w:num w:numId="23">
    <w:abstractNumId w:val="25"/>
  </w:num>
  <w:num w:numId="24">
    <w:abstractNumId w:val="16"/>
  </w:num>
  <w:num w:numId="25">
    <w:abstractNumId w:val="30"/>
  </w:num>
  <w:num w:numId="26">
    <w:abstractNumId w:val="5"/>
  </w:num>
  <w:num w:numId="27">
    <w:abstractNumId w:val="6"/>
  </w:num>
  <w:num w:numId="28">
    <w:abstractNumId w:val="17"/>
  </w:num>
  <w:num w:numId="29">
    <w:abstractNumId w:val="20"/>
  </w:num>
  <w:num w:numId="30">
    <w:abstractNumId w:val="23"/>
  </w:num>
  <w:num w:numId="31">
    <w:abstractNumId w:val="11"/>
  </w:num>
  <w:num w:numId="32">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62E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E0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1691"/>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369E"/>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0930"/>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7483"/>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0DBF"/>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5CC"/>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1E8A"/>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310"/>
    <w:rsid w:val="0074151B"/>
    <w:rsid w:val="007415E2"/>
    <w:rsid w:val="0074225A"/>
    <w:rsid w:val="00742691"/>
    <w:rsid w:val="0074493A"/>
    <w:rsid w:val="00747065"/>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14D"/>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4580"/>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39F3"/>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5097"/>
    <w:rsid w:val="00A46658"/>
    <w:rsid w:val="00A46A5A"/>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1A"/>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36DA5"/>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20F"/>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24C26"/>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3918"/>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1924"/>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81A"/>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67E74C-C0D5-4FBB-9E11-9E7BD67D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PlztdiZr4fgHxg3szezstfsgtho/2lAhvtMSforEH5M=</DigestValue>
    </Reference>
    <Reference Type="http://www.w3.org/2000/09/xmldsig#Object" URI="#idOfficeObject">
      <DigestMethod Algorithm="http://www.w3.org/2001/04/xmlenc#sha256"/>
      <DigestValue>lSq7zY+Kd8Mk5HYrLzcH5zuiK2EFkQ1wns7us9X2Jyk=</DigestValue>
    </Reference>
    <Reference Type="http://uri.etsi.org/01903#SignedProperties" URI="#idSignedProperties">
      <Transforms>
        <Transform Algorithm="http://www.w3.org/TR/2001/REC-xml-c14n-20010315"/>
      </Transforms>
      <DigestMethod Algorithm="http://www.w3.org/2001/04/xmlenc#sha256"/>
      <DigestValue>Za0pKlUVmve/QZK0nBsNv1z65TS8hhGKkugX1F2NhBk=</DigestValue>
    </Reference>
  </SignedInfo>
  <SignatureValue>ExeSgjS3xoj0HwltLH9MPXuDLZogeZ+WXrxizwsOnqIa0goonsWfJZfe9ZFI/QcsWxachaWa07V5
LDODJtlDV5TQlrJYy5QjKg2Sy7Sra4+J3U7uOmQ2ChcZdAlNJt94F9KTD5TJRDTcrogwO5yADTDk
ULm/pBeylMGApMfadSCDMjYjWV1WyY5FlJ0GOk+ZvVHbf8/0coXrTxhxCVTpt3eRC1Uvr+OHhC1e
jIoIkyRvYc5+GkgOm+1GB/+4VImFG9/8buIjYFMtHHVMGYL9RUjrw8DMgA3Sga3xItVRYxaz8xdm
9MTBPjLbDTgvIcZMMDD5q6Bp8F9nWMvFbp75Hg==</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phLu4qBE+sGeE8aEjl7pV31wrd9JcVwQUQ5/GfaMoRk=</DigestValue>
      </Reference>
      <Reference URI="/word/endnotes.xml?ContentType=application/vnd.openxmlformats-officedocument.wordprocessingml.endnotes+xml">
        <DigestMethod Algorithm="http://www.w3.org/2001/04/xmlenc#sha256"/>
        <DigestValue>Pdz2OdDbJFCA/maqKIlpm/KfU/Xoky4zEm9aIRPX2Xw=</DigestValue>
      </Reference>
      <Reference URI="/word/fontTable.xml?ContentType=application/vnd.openxmlformats-officedocument.wordprocessingml.fontTable+xml">
        <DigestMethod Algorithm="http://www.w3.org/2001/04/xmlenc#sha256"/>
        <DigestValue>6YvioDxPz5mB721Rl7AUpBb6zAfaJlTJaph9qPEw7xg=</DigestValue>
      </Reference>
      <Reference URI="/word/footer1.xml?ContentType=application/vnd.openxmlformats-officedocument.wordprocessingml.footer+xml">
        <DigestMethod Algorithm="http://www.w3.org/2001/04/xmlenc#sha256"/>
        <DigestValue>Dgvdzt/0u9Whj6PHy8sB1x/9ySiFIhXlPpQve/EYwJU=</DigestValue>
      </Reference>
      <Reference URI="/word/footnotes.xml?ContentType=application/vnd.openxmlformats-officedocument.wordprocessingml.footnotes+xml">
        <DigestMethod Algorithm="http://www.w3.org/2001/04/xmlenc#sha256"/>
        <DigestValue>5xvbHEipnGbjR2qF1L1cGVvEHUsvpgeFTILv6JGZ8d0=</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+S0d0PNyO3g8dFuL6t06weHVGE7a1pNaeDdlGxk85XY=</DigestValue>
      </Reference>
      <Reference URI="/word/settings.xml?ContentType=application/vnd.openxmlformats-officedocument.wordprocessingml.settings+xml">
        <DigestMethod Algorithm="http://www.w3.org/2001/04/xmlenc#sha256"/>
        <DigestValue>aV7DkhKFysX5GPmBJ/Z3U9x72nKGSPhLGX7lPcgpLpo=</DigestValue>
      </Reference>
      <Reference URI="/word/styles.xml?ContentType=application/vnd.openxmlformats-officedocument.wordprocessingml.styles+xml">
        <DigestMethod Algorithm="http://www.w3.org/2001/04/xmlenc#sha256"/>
        <DigestValue>4qzeer9ymYDRIuYPuZbtBWr+SzZM/0VEb/NV/qvr2cw=</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2019-03-25T13:08:08Z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2019-03-25T13:08:08Z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0C60-B09A-4B9A-B495-BD82F8BB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4209</Words>
  <Characters>24835</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28987</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2019-03-19T07:51:00Z</cp:lastPrinted>
  <dcterms:created xsi:type="dcterms:W3CDTF">2019-03-25T13:07:00Z</dcterms:created>
  <dcterms:modified xsi:type="dcterms:W3CDTF">2019-03-25T13:07:00Z</dcterms:modified>
</cp:coreProperties>
</file>