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F803" w14:textId="4FB28A73" w:rsidR="00AD5BD8" w:rsidRP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AD5BD8">
        <w:rPr>
          <w:rFonts w:asciiTheme="minorHAnsi" w:hAnsiTheme="minorHAnsi" w:cstheme="minorHAnsi"/>
          <w:b/>
        </w:rPr>
        <w:t>Specifikace předmětu veřejné zakázky</w:t>
      </w:r>
      <w:r w:rsidRPr="00AD5BD8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C5A5B" w:rsidRPr="00695113">
        <w:rPr>
          <w:rFonts w:asciiTheme="minorHAnsi" w:hAnsiTheme="minorHAnsi" w:cstheme="minorHAnsi"/>
          <w:b/>
          <w:bCs/>
        </w:rPr>
        <w:t>Motorgenerátor do technologického centra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1E3386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7C5A5B" w:rsidRPr="007C5A5B">
        <w:rPr>
          <w:rFonts w:asciiTheme="minorHAnsi" w:hAnsiTheme="minorHAnsi" w:cstheme="minorHAnsi"/>
          <w:b/>
          <w:bCs/>
          <w:noProof/>
          <w:lang w:eastAsia="cs-CZ"/>
        </w:rPr>
        <w:t>VZ2021-078-OTE-IT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C18788F" w14:textId="2AE7E295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EC2833" w14:textId="2ACEFD9A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25D1AAC2" w14:textId="7D69C855" w:rsidR="00CD6FD6" w:rsidRDefault="0038306E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>Předmětem veřejné zakázky je dodávka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 xml:space="preserve"> záložního zdroje elektrické energie - 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>motorgenerátoru (MTG) pro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 xml:space="preserve"> napájení výpočetní techniky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technologické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ho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centr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a</w:t>
      </w:r>
      <w:r w:rsidR="00CD6FD6">
        <w:rPr>
          <w:rFonts w:ascii="Calibri" w:hAnsi="Calibri" w:cs="Calibri"/>
          <w:noProof/>
          <w:sz w:val="24"/>
          <w:szCs w:val="24"/>
          <w:lang w:eastAsia="cs-CZ"/>
        </w:rPr>
        <w:t xml:space="preserve"> </w:t>
      </w:r>
      <w:r w:rsidR="008B5C1C">
        <w:rPr>
          <w:rFonts w:ascii="Calibri" w:hAnsi="Calibri" w:cs="Calibri"/>
          <w:noProof/>
          <w:sz w:val="24"/>
          <w:szCs w:val="24"/>
          <w:lang w:eastAsia="cs-CZ"/>
        </w:rPr>
        <w:t>MÚ Znojmo</w:t>
      </w:r>
      <w:r w:rsidR="008B5C1C" w:rsidRPr="00E92E53">
        <w:rPr>
          <w:rFonts w:ascii="Calibri" w:hAnsi="Calibri" w:cs="Calibri"/>
          <w:color w:val="000000"/>
          <w:sz w:val="24"/>
          <w:szCs w:val="24"/>
          <w:lang w:eastAsia="cs-CZ"/>
        </w:rPr>
        <w:t xml:space="preserve"> </w:t>
      </w:r>
      <w:r w:rsidR="00B6641A">
        <w:rPr>
          <w:rFonts w:ascii="Calibri" w:hAnsi="Calibri" w:cs="Calibri"/>
          <w:color w:val="000000"/>
          <w:sz w:val="24"/>
          <w:szCs w:val="24"/>
          <w:lang w:eastAsia="cs-CZ"/>
        </w:rPr>
        <w:t xml:space="preserve">v případě výpadku sítě NN. </w:t>
      </w:r>
    </w:p>
    <w:p w14:paraId="56112BC1" w14:textId="77777777" w:rsidR="00AB326D" w:rsidRDefault="00AB326D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515E38BE" w14:textId="61064A12" w:rsidR="006B6428" w:rsidRDefault="00B6641A" w:rsidP="008B5C1C">
      <w:p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Technologické centrum se nachází </w:t>
      </w:r>
      <w:r w:rsidR="0038306E" w:rsidRPr="00E92E53">
        <w:rPr>
          <w:rFonts w:ascii="Calibri" w:hAnsi="Calibri" w:cs="Calibri"/>
          <w:color w:val="000000"/>
          <w:sz w:val="24"/>
          <w:szCs w:val="24"/>
          <w:lang w:eastAsia="cs-CZ"/>
        </w:rPr>
        <w:t>na adrese Jana Palacha 2, Znojmo</w:t>
      </w:r>
      <w:r w:rsidR="008B5C1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(budova M</w:t>
      </w:r>
      <w:r w:rsidR="006B6428">
        <w:rPr>
          <w:rFonts w:ascii="Calibri" w:hAnsi="Calibri" w:cs="Calibri"/>
          <w:color w:val="000000"/>
          <w:sz w:val="24"/>
          <w:szCs w:val="24"/>
          <w:lang w:eastAsia="cs-CZ"/>
        </w:rPr>
        <w:t>ěstské policie Znojmo</w:t>
      </w:r>
      <w:r w:rsidR="008B5C1C">
        <w:rPr>
          <w:rFonts w:ascii="Calibri" w:hAnsi="Calibri" w:cs="Calibri"/>
          <w:color w:val="000000"/>
          <w:sz w:val="24"/>
          <w:szCs w:val="24"/>
          <w:lang w:eastAsia="cs-CZ"/>
        </w:rPr>
        <w:t>).</w:t>
      </w:r>
      <w:r w:rsidR="0038306E" w:rsidRPr="00E92E53">
        <w:rPr>
          <w:rFonts w:ascii="Calibri" w:hAnsi="Calibri" w:cs="Calibri"/>
          <w:color w:val="000000"/>
          <w:sz w:val="24"/>
          <w:szCs w:val="24"/>
          <w:lang w:eastAsia="cs-CZ"/>
        </w:rPr>
        <w:t xml:space="preserve"> 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Elektroinstalace budovy je po nedávné rekonstrukci, jejíž součástí byla </w:t>
      </w:r>
      <w:r w:rsidR="00AB326D">
        <w:rPr>
          <w:rFonts w:ascii="Calibri" w:hAnsi="Calibri" w:cs="Calibri"/>
          <w:color w:val="000000"/>
          <w:sz w:val="24"/>
          <w:szCs w:val="24"/>
          <w:lang w:eastAsia="cs-CZ"/>
        </w:rPr>
        <w:t xml:space="preserve">i 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příprava silové a datové kabeláže pro připojení </w:t>
      </w:r>
      <w:r w:rsidR="00CC1272">
        <w:rPr>
          <w:rFonts w:ascii="Calibri" w:hAnsi="Calibri" w:cs="Calibri"/>
          <w:color w:val="000000"/>
          <w:sz w:val="24"/>
          <w:szCs w:val="24"/>
          <w:lang w:eastAsia="cs-CZ"/>
        </w:rPr>
        <w:t>MTG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 to vč. betonového podstavce</w:t>
      </w:r>
      <w:r w:rsidR="00CC1272">
        <w:rPr>
          <w:rFonts w:ascii="Calibri" w:hAnsi="Calibri" w:cs="Calibri"/>
          <w:color w:val="000000"/>
          <w:sz w:val="24"/>
          <w:szCs w:val="24"/>
          <w:lang w:eastAsia="cs-CZ"/>
        </w:rPr>
        <w:t xml:space="preserve"> (není součástí předmětu plnění)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 xml:space="preserve">. Projektová dokumentace bude k nahlédnutí při </w:t>
      </w:r>
      <w:r w:rsidR="00AB326D">
        <w:rPr>
          <w:rFonts w:ascii="Calibri" w:hAnsi="Calibri" w:cs="Calibri"/>
          <w:color w:val="000000"/>
          <w:sz w:val="24"/>
          <w:szCs w:val="24"/>
          <w:lang w:eastAsia="cs-CZ"/>
        </w:rPr>
        <w:t>plánované prohlídce místa předmětu zakázky, viz Výzva bod. 15.</w:t>
      </w:r>
    </w:p>
    <w:p w14:paraId="022072F4" w14:textId="77777777" w:rsidR="00AB326D" w:rsidRDefault="00AB326D" w:rsidP="008B5C1C">
      <w:pPr>
        <w:spacing w:after="0"/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73BA9AA5" w14:textId="2D5D485A" w:rsidR="0038306E" w:rsidRPr="006B6428" w:rsidRDefault="004607F8" w:rsidP="008B5C1C">
      <w:pPr>
        <w:spacing w:after="0"/>
        <w:jc w:val="both"/>
        <w:rPr>
          <w:rFonts w:ascii="Calibri" w:hAnsi="Calibri" w:cs="Calibri"/>
          <w:sz w:val="24"/>
          <w:szCs w:val="24"/>
          <w:lang w:eastAsia="cs-CZ"/>
        </w:rPr>
      </w:pPr>
      <w:r w:rsidRPr="006B6428">
        <w:rPr>
          <w:rFonts w:ascii="Calibri" w:hAnsi="Calibri" w:cs="Calibri"/>
          <w:sz w:val="24"/>
          <w:szCs w:val="24"/>
          <w:lang w:eastAsia="cs-CZ"/>
        </w:rPr>
        <w:t>Požadovaná záruka na</w:t>
      </w:r>
      <w:r w:rsidR="00AB326D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AB326D" w:rsidRPr="00AB326D">
        <w:rPr>
          <w:rFonts w:ascii="Calibri" w:hAnsi="Calibri" w:cs="Calibri"/>
          <w:color w:val="FF0000"/>
          <w:sz w:val="24"/>
          <w:szCs w:val="24"/>
          <w:lang w:eastAsia="cs-CZ"/>
        </w:rPr>
        <w:t xml:space="preserve">kompletní </w:t>
      </w:r>
      <w:r w:rsidR="00AB326D">
        <w:rPr>
          <w:rFonts w:ascii="Calibri" w:hAnsi="Calibri" w:cs="Calibri"/>
          <w:sz w:val="24"/>
          <w:szCs w:val="24"/>
          <w:lang w:eastAsia="cs-CZ"/>
        </w:rPr>
        <w:t>dílo v délce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AB326D">
        <w:rPr>
          <w:rFonts w:ascii="Calibri" w:hAnsi="Calibri" w:cs="Calibri"/>
          <w:sz w:val="24"/>
          <w:szCs w:val="24"/>
          <w:lang w:eastAsia="cs-CZ"/>
        </w:rPr>
        <w:t>trvání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B6641A" w:rsidRPr="006B6428">
        <w:rPr>
          <w:rFonts w:ascii="Calibri" w:hAnsi="Calibri" w:cs="Calibri"/>
          <w:sz w:val="24"/>
          <w:szCs w:val="24"/>
          <w:lang w:eastAsia="cs-CZ"/>
        </w:rPr>
        <w:t>4</w:t>
      </w:r>
      <w:r w:rsidRPr="006B6428">
        <w:rPr>
          <w:rFonts w:ascii="Calibri" w:hAnsi="Calibri" w:cs="Calibri"/>
          <w:sz w:val="24"/>
          <w:szCs w:val="24"/>
          <w:lang w:eastAsia="cs-CZ"/>
        </w:rPr>
        <w:t xml:space="preserve"> let vč. </w:t>
      </w:r>
      <w:r w:rsidR="0038306E" w:rsidRPr="006B6428">
        <w:rPr>
          <w:rFonts w:ascii="Calibri" w:hAnsi="Calibri" w:cs="Calibri"/>
          <w:sz w:val="24"/>
          <w:szCs w:val="24"/>
          <w:lang w:eastAsia="cs-CZ"/>
        </w:rPr>
        <w:t>zajištění servisní</w:t>
      </w:r>
      <w:r w:rsidR="00D864FF" w:rsidRPr="006B6428">
        <w:rPr>
          <w:rFonts w:ascii="Calibri" w:hAnsi="Calibri" w:cs="Calibri"/>
          <w:sz w:val="24"/>
          <w:szCs w:val="24"/>
          <w:lang w:eastAsia="cs-CZ"/>
        </w:rPr>
        <w:t>ch služeb</w:t>
      </w:r>
      <w:r w:rsidR="0038306E" w:rsidRPr="006B6428">
        <w:rPr>
          <w:rFonts w:ascii="Calibri" w:hAnsi="Calibri" w:cs="Calibri"/>
          <w:sz w:val="24"/>
          <w:szCs w:val="24"/>
          <w:lang w:eastAsia="cs-CZ"/>
        </w:rPr>
        <w:t xml:space="preserve"> a pravidelných profylaktických prohlídek </w:t>
      </w:r>
      <w:r w:rsidR="00B6641A" w:rsidRPr="006B6428">
        <w:rPr>
          <w:rFonts w:ascii="Calibri" w:hAnsi="Calibri" w:cs="Calibri"/>
          <w:sz w:val="24"/>
          <w:szCs w:val="24"/>
          <w:lang w:eastAsia="cs-CZ"/>
        </w:rPr>
        <w:t>po uvedenou dobu</w:t>
      </w:r>
      <w:r w:rsidR="006B6428">
        <w:rPr>
          <w:rFonts w:ascii="Calibri" w:hAnsi="Calibri" w:cs="Calibri"/>
          <w:sz w:val="24"/>
          <w:szCs w:val="24"/>
          <w:lang w:eastAsia="cs-CZ"/>
        </w:rPr>
        <w:t xml:space="preserve"> v</w:t>
      </w:r>
      <w:r w:rsidR="00747FFD">
        <w:rPr>
          <w:rFonts w:ascii="Calibri" w:hAnsi="Calibri" w:cs="Calibri"/>
          <w:sz w:val="24"/>
          <w:szCs w:val="24"/>
          <w:lang w:eastAsia="cs-CZ"/>
        </w:rPr>
        <w:t xml:space="preserve"> minimálním </w:t>
      </w:r>
      <w:r w:rsidR="006B6428">
        <w:rPr>
          <w:rFonts w:ascii="Calibri" w:hAnsi="Calibri" w:cs="Calibri"/>
          <w:sz w:val="24"/>
          <w:szCs w:val="24"/>
          <w:lang w:eastAsia="cs-CZ"/>
        </w:rPr>
        <w:t>rozsahu</w:t>
      </w:r>
      <w:r w:rsidR="00D864FF" w:rsidRPr="006B6428">
        <w:rPr>
          <w:rFonts w:ascii="Calibri" w:hAnsi="Calibri" w:cs="Calibri"/>
          <w:sz w:val="24"/>
          <w:szCs w:val="24"/>
          <w:lang w:eastAsia="cs-CZ"/>
        </w:rPr>
        <w:t>:</w:t>
      </w:r>
    </w:p>
    <w:p w14:paraId="260712AA" w14:textId="22A0228B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Pravidelná preventivní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prohlídka a 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údržba záložního energetického zdroje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(profylaxe) vč. 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vypracování protokolu a doporučení pro další provozování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– </w:t>
      </w:r>
      <w:r w:rsidR="00F6459E">
        <w:rPr>
          <w:rFonts w:ascii="Calibri" w:hAnsi="Calibri" w:cs="Calibri"/>
          <w:color w:val="000000"/>
          <w:sz w:val="24"/>
          <w:szCs w:val="24"/>
          <w:lang w:eastAsia="cs-CZ"/>
        </w:rPr>
        <w:t xml:space="preserve">četnost dle požadavků výrobce,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1x ročně min.</w:t>
      </w:r>
    </w:p>
    <w:p w14:paraId="770781C8" w14:textId="77777777" w:rsid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Pevně definovaná doba nástupu servisního technika k servisnímu zásahu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 xml:space="preserve"> - 5 pracovních dní max.</w:t>
      </w:r>
    </w:p>
    <w:p w14:paraId="7863C83D" w14:textId="7A762BD9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Pevně definovaná doba 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odstranění poruch - 10 pracovních dní max.</w:t>
      </w:r>
    </w:p>
    <w:p w14:paraId="249A9C3E" w14:textId="77777777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Telefonická podpora (servisní linka a telefonická asistence)</w:t>
      </w:r>
    </w:p>
    <w:p w14:paraId="279029C9" w14:textId="2E79E9C3" w:rsidR="00D864FF" w:rsidRPr="00D864FF" w:rsidRDefault="00D864FF" w:rsidP="00D864FF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Proškol</w:t>
      </w:r>
      <w:r>
        <w:rPr>
          <w:rFonts w:ascii="Calibri" w:hAnsi="Calibri" w:cs="Calibri"/>
          <w:color w:val="000000"/>
          <w:sz w:val="24"/>
          <w:szCs w:val="24"/>
          <w:lang w:eastAsia="cs-CZ"/>
        </w:rPr>
        <w:t>e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>ní personálu z</w:t>
      </w:r>
      <w:r w:rsidR="00CD6FD6">
        <w:rPr>
          <w:rFonts w:ascii="Calibri" w:hAnsi="Calibri" w:cs="Calibri"/>
          <w:color w:val="000000"/>
          <w:sz w:val="24"/>
          <w:szCs w:val="24"/>
          <w:lang w:eastAsia="cs-CZ"/>
        </w:rPr>
        <w:t>adavatele</w:t>
      </w:r>
      <w:r w:rsidRPr="00D864FF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 přístup k aktuální dokumentaci.</w:t>
      </w:r>
    </w:p>
    <w:p w14:paraId="410BA23F" w14:textId="4CB1BF61" w:rsidR="000261D3" w:rsidRPr="004D398C" w:rsidRDefault="000261D3" w:rsidP="00EC2645">
      <w:pPr>
        <w:spacing w:after="0"/>
        <w:rPr>
          <w:rFonts w:asciiTheme="minorHAnsi" w:hAnsiTheme="minorHAnsi" w:cstheme="minorHAnsi"/>
          <w:noProof/>
          <w:color w:val="FF0000"/>
          <w:lang w:eastAsia="cs-CZ"/>
        </w:rPr>
      </w:pPr>
    </w:p>
    <w:p w14:paraId="4F56873D" w14:textId="77777777" w:rsidR="008B5C1C" w:rsidRDefault="008B5C1C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8FE7138" w14:textId="77777777" w:rsidR="0038306E" w:rsidRPr="00E92E53" w:rsidRDefault="0038306E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E92E53">
        <w:rPr>
          <w:rFonts w:ascii="Calibri" w:hAnsi="Calibri" w:cs="Calibri"/>
          <w:color w:val="000000"/>
          <w:sz w:val="24"/>
          <w:szCs w:val="24"/>
          <w:lang w:eastAsia="cs-CZ"/>
        </w:rPr>
        <w:t>Součástí dodávky MTG je:</w:t>
      </w:r>
    </w:p>
    <w:p w14:paraId="544A63AF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doprava</w:t>
      </w:r>
    </w:p>
    <w:p w14:paraId="44DF119B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instalace</w:t>
      </w:r>
    </w:p>
    <w:p w14:paraId="3CB349C4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uvedení do provozu</w:t>
      </w:r>
    </w:p>
    <w:p w14:paraId="4521B19B" w14:textId="77777777" w:rsidR="0038306E" w:rsidRPr="00E92E53" w:rsidRDefault="0038306E" w:rsidP="0038306E">
      <w:pPr>
        <w:pStyle w:val="Bezmezer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E92E53">
        <w:rPr>
          <w:rFonts w:ascii="Calibri" w:hAnsi="Calibri" w:cs="Calibri"/>
          <w:sz w:val="24"/>
          <w:szCs w:val="24"/>
        </w:rPr>
        <w:t>zaškolení obsluhy</w:t>
      </w:r>
    </w:p>
    <w:p w14:paraId="0B80A2A7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0EC8C6D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46214AD" w14:textId="0FE38829" w:rsidR="00791BE3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>Specifikace obecných požadavků na MTG</w:t>
      </w:r>
      <w:r w:rsidR="00791BE3">
        <w:rPr>
          <w:rFonts w:asciiTheme="minorHAnsi" w:hAnsiTheme="minorHAnsi" w:cstheme="minorHAnsi"/>
          <w:noProof/>
          <w:lang w:eastAsia="cs-CZ"/>
        </w:rPr>
        <w:t>:</w:t>
      </w:r>
    </w:p>
    <w:p w14:paraId="47672BD6" w14:textId="711BC006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1981"/>
      </w:tblGrid>
      <w:tr w:rsidR="00C416AF" w:rsidRPr="000261D3" w14:paraId="3FD8367C" w14:textId="4B546835" w:rsidTr="00CB5109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79217" w14:textId="4A61FCA6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C48DC" w14:textId="51001827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EA1EF" w14:textId="3D7C5DD3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splňuje / nesplňuje</w:t>
            </w:r>
          </w:p>
        </w:tc>
      </w:tr>
      <w:tr w:rsidR="00C416AF" w:rsidRPr="000261D3" w14:paraId="16303841" w14:textId="1806F7C9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77A3" w14:textId="26EB3B6D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Provedení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7132" w14:textId="071AF755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enkovní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, kapotované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5CA912" w14:textId="2E8B0D19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06E" w:rsidRPr="000261D3" w14:paraId="0D08A877" w14:textId="77777777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FBD4" w14:textId="2033A5D7" w:rsidR="0038306E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Umístění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CCBB" w14:textId="38A035AF" w:rsidR="0038306E" w:rsidRPr="00E92E53" w:rsidRDefault="0038306E" w:rsidP="000261D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a stávající betonový podstavec bez přístřešku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29FE2B" w14:textId="77777777" w:rsidR="0038306E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DA666B7" w14:textId="23CEF196" w:rsidTr="00CB510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D41A" w14:textId="624E7907" w:rsidR="00C416AF" w:rsidRPr="000261D3" w:rsidRDefault="0038306E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ežim provozu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D605" w14:textId="6776AF92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Manuální i automatický (MRS+AMF)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6CF92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4D21E12F" w14:textId="67260A33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05D7" w14:textId="3E76A98F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Přepínání zátěže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D9A8" w14:textId="6896AC0F" w:rsidR="00C416AF" w:rsidRPr="000261D3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ATS s mechanickým i elektrickým blokováním stykačů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623187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22AC6ED6" w14:textId="0712CA35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B2E4" w14:textId="78C2DDBF" w:rsidR="00C416AF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Předehřev motoru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BD21" w14:textId="584DE10E" w:rsidR="00C416AF" w:rsidRDefault="0038306E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řipraven k zátěži hned po spuštění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415A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14AF955D" w14:textId="271F0BDF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7A53" w14:textId="20BA2346" w:rsidR="00C416AF" w:rsidRDefault="0054444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Ochrana před únikem provozních kapalin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241D" w14:textId="77777777" w:rsidR="00544443" w:rsidRPr="00E92E53" w:rsidRDefault="00544443" w:rsidP="00544443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Ekologická vana</w:t>
            </w:r>
          </w:p>
          <w:p w14:paraId="3FCF745B" w14:textId="1853303B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7350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729F485" w14:textId="2E59AD7A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5216" w14:textId="75C1D2F7" w:rsidR="00C416AF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E92E53">
              <w:rPr>
                <w:rFonts w:ascii="Calibri" w:hAnsi="Calibri" w:cs="Calibri"/>
                <w:sz w:val="24"/>
                <w:szCs w:val="24"/>
              </w:rPr>
              <w:t>ěření hladiny paliva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DAB4" w14:textId="6693C78B" w:rsidR="00C416AF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Elektronické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60DEB0" w14:textId="77777777" w:rsidR="00C416AF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4A178D0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AB4C" w14:textId="3136D79E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Antikorozní provedení/nátěr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53D4" w14:textId="2E082847" w:rsidR="00544443" w:rsidRPr="00E92E53" w:rsidRDefault="00544443" w:rsidP="0054444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E92E53">
              <w:rPr>
                <w:rFonts w:ascii="Calibri" w:hAnsi="Calibri" w:cs="Calibri"/>
                <w:sz w:val="24"/>
                <w:szCs w:val="24"/>
              </w:rPr>
              <w:t xml:space="preserve">ám – 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Zr</w:t>
            </w:r>
            <w:proofErr w:type="spellEnd"/>
            <w:r w:rsidRPr="00E92E5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K</w:t>
            </w:r>
            <w:r w:rsidRPr="00E92E53">
              <w:rPr>
                <w:rFonts w:ascii="Calibri" w:hAnsi="Calibri" w:cs="Calibri"/>
                <w:sz w:val="24"/>
                <w:szCs w:val="24"/>
              </w:rPr>
              <w:t xml:space="preserve">apotáž – 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Zr</w:t>
            </w:r>
            <w:proofErr w:type="spellEnd"/>
            <w:r w:rsidRPr="00E92E53">
              <w:rPr>
                <w:rFonts w:ascii="Calibri" w:hAnsi="Calibri" w:cs="Calibri"/>
                <w:sz w:val="24"/>
                <w:szCs w:val="24"/>
              </w:rPr>
              <w:t>, Al-</w:t>
            </w:r>
            <w:proofErr w:type="spellStart"/>
            <w:r w:rsidRPr="00E92E53">
              <w:rPr>
                <w:rFonts w:ascii="Calibri" w:hAnsi="Calibri" w:cs="Calibri"/>
                <w:sz w:val="24"/>
                <w:szCs w:val="24"/>
              </w:rPr>
              <w:t>Zn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4E852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7904B484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63D9" w14:textId="643E6F5D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Generátor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6255" w14:textId="1C2F78EA" w:rsidR="00544443" w:rsidRPr="00E92E5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2E53">
              <w:rPr>
                <w:rFonts w:ascii="Calibri" w:hAnsi="Calibri" w:cs="Calibri"/>
                <w:sz w:val="24"/>
                <w:szCs w:val="24"/>
              </w:rPr>
              <w:t>Střídavý alternátor (bezkartáčový)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A434C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1A27B39C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BC7" w14:textId="77777777" w:rsidR="0054444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3417" w14:textId="77777777" w:rsidR="00544443" w:rsidRPr="00E92E53" w:rsidRDefault="00544443" w:rsidP="00ED7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2A5C67" w14:textId="77777777" w:rsidR="00544443" w:rsidRDefault="00544443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52FB" w:rsidRPr="000261D3" w14:paraId="09BB7B90" w14:textId="77777777" w:rsidTr="00CB510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A12E" w14:textId="24BD8947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169B" w14:textId="7D89A64B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841A6" w14:textId="77777777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6492A2" w14:textId="77777777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81BB9EB" w14:textId="77777777" w:rsidR="0038306E" w:rsidRDefault="0038306E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CCCEADE" w14:textId="5A83B60F" w:rsidR="00544443" w:rsidRDefault="00544443" w:rsidP="00544443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Specifikace </w:t>
      </w:r>
      <w:r>
        <w:rPr>
          <w:rFonts w:ascii="Calibri" w:hAnsi="Calibri" w:cs="Calibri"/>
          <w:noProof/>
          <w:sz w:val="24"/>
          <w:szCs w:val="24"/>
          <w:lang w:eastAsia="cs-CZ"/>
        </w:rPr>
        <w:t>požadovaných parametrů</w:t>
      </w:r>
      <w:r w:rsidRPr="00E92E53">
        <w:rPr>
          <w:rFonts w:ascii="Calibri" w:hAnsi="Calibri" w:cs="Calibri"/>
          <w:noProof/>
          <w:sz w:val="24"/>
          <w:szCs w:val="24"/>
          <w:lang w:eastAsia="cs-CZ"/>
        </w:rPr>
        <w:t xml:space="preserve"> na MTG</w:t>
      </w:r>
      <w:r>
        <w:rPr>
          <w:rFonts w:asciiTheme="minorHAnsi" w:hAnsiTheme="minorHAnsi" w:cstheme="minorHAnsi"/>
          <w:noProof/>
          <w:lang w:eastAsia="cs-CZ"/>
        </w:rPr>
        <w:t>:</w:t>
      </w:r>
    </w:p>
    <w:p w14:paraId="0C5B401C" w14:textId="77777777" w:rsidR="00544443" w:rsidRDefault="00544443" w:rsidP="00544443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981"/>
      </w:tblGrid>
      <w:tr w:rsidR="00544443" w:rsidRPr="000261D3" w14:paraId="575B75AB" w14:textId="77777777" w:rsidTr="00CB5109">
        <w:trPr>
          <w:trHeight w:val="6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73695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5C5C0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02580" w14:textId="77777777" w:rsidR="00544443" w:rsidRPr="00ED71CD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splňuje / nesplňuje</w:t>
            </w:r>
          </w:p>
        </w:tc>
      </w:tr>
      <w:tr w:rsidR="00544443" w:rsidRPr="000261D3" w14:paraId="796B26A4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F69D" w14:textId="307F875E" w:rsidR="00544443" w:rsidRPr="000261D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 xml:space="preserve">Minimální jmenovitý výkon </w:t>
            </w:r>
            <w:proofErr w:type="gramStart"/>
            <w:r w:rsidRPr="000758CC">
              <w:rPr>
                <w:rFonts w:ascii="Calibri" w:hAnsi="Calibri" w:cs="Calibri"/>
                <w:sz w:val="24"/>
                <w:szCs w:val="24"/>
              </w:rPr>
              <w:t>P.R.</w:t>
            </w:r>
            <w:proofErr w:type="gramEnd"/>
            <w:r w:rsidRPr="000758CC">
              <w:rPr>
                <w:rFonts w:ascii="Calibri" w:hAnsi="Calibri" w:cs="Calibri"/>
                <w:sz w:val="24"/>
                <w:szCs w:val="24"/>
              </w:rPr>
              <w:t>P. [</w:t>
            </w:r>
            <w:proofErr w:type="spellStart"/>
            <w:r w:rsidRPr="000758CC">
              <w:rPr>
                <w:rFonts w:ascii="Calibri" w:hAnsi="Calibri" w:cs="Calibri"/>
                <w:sz w:val="24"/>
                <w:szCs w:val="24"/>
              </w:rPr>
              <w:t>kVA</w:t>
            </w:r>
            <w:proofErr w:type="spellEnd"/>
            <w:r w:rsidRPr="000758CC">
              <w:rPr>
                <w:rFonts w:ascii="Calibri" w:hAnsi="Calibri" w:cs="Calibri"/>
                <w:sz w:val="24"/>
                <w:szCs w:val="24"/>
              </w:rPr>
              <w:t>] / [kW]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C88B" w14:textId="36F85984" w:rsidR="00544443" w:rsidRPr="000261D3" w:rsidRDefault="00544443" w:rsidP="000C4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2</w:t>
            </w:r>
            <w:r w:rsidR="000C4476">
              <w:rPr>
                <w:rFonts w:ascii="Calibri" w:hAnsi="Calibri" w:cs="Calibri"/>
                <w:sz w:val="24"/>
                <w:szCs w:val="24"/>
              </w:rPr>
              <w:t>0</w:t>
            </w:r>
            <w:r w:rsidRPr="000758CC">
              <w:rPr>
                <w:rFonts w:ascii="Calibri" w:hAnsi="Calibri" w:cs="Calibri"/>
                <w:sz w:val="24"/>
                <w:szCs w:val="24"/>
              </w:rPr>
              <w:t xml:space="preserve">,0 / </w:t>
            </w:r>
            <w:r w:rsidR="000C4476">
              <w:rPr>
                <w:rFonts w:ascii="Calibri" w:hAnsi="Calibri" w:cs="Calibri"/>
                <w:sz w:val="24"/>
                <w:szCs w:val="24"/>
              </w:rPr>
              <w:t>16</w:t>
            </w:r>
            <w:r w:rsidRPr="000758CC">
              <w:rPr>
                <w:rFonts w:ascii="Calibri" w:hAnsi="Calibri" w:cs="Calibri"/>
                <w:sz w:val="24"/>
                <w:szCs w:val="24"/>
              </w:rPr>
              <w:t>,0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C385C" w14:textId="148CDF1F" w:rsidR="00544443" w:rsidRDefault="00544443" w:rsidP="00B54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121CEF" w:rsidRPr="000261D3" w14:paraId="4EA4CB0F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1270" w14:textId="0AA66AE8" w:rsidR="00121CEF" w:rsidRPr="000758CC" w:rsidRDefault="00121CEF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Požadavek na počet válců minimální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EE" w14:textId="2D5FE9B9" w:rsidR="00121CEF" w:rsidRPr="000758CC" w:rsidRDefault="00121CEF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B9BCC" w14:textId="77777777" w:rsidR="00121CEF" w:rsidRDefault="00121CEF" w:rsidP="00B54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10498A58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6049" w14:textId="6153E374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Frekvence [Hz]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89FD" w14:textId="6A49D0CD" w:rsidR="00544443" w:rsidRPr="00E92E5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294F6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30F10860" w14:textId="77777777" w:rsidTr="00CB510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17CD" w14:textId="40713F7A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Napětí [V]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F866" w14:textId="74185FD0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3x400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C454AC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E568ED2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2610" w14:textId="2ACEFEEC" w:rsidR="00544443" w:rsidRPr="000261D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Místo výroby alternátoru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0FD3" w14:textId="5159DA1F" w:rsidR="00544443" w:rsidRPr="000261D3" w:rsidRDefault="000C447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Certifikace </w:t>
            </w:r>
            <w:r w:rsidR="000966E6" w:rsidRPr="000758CC">
              <w:rPr>
                <w:rFonts w:ascii="Calibri" w:hAnsi="Calibri" w:cs="Calibri"/>
                <w:sz w:val="24"/>
                <w:szCs w:val="24"/>
              </w:rPr>
              <w:t>EU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BED97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491F3BED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0DBF" w14:textId="270B6D8C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Jmenovité napětí alternátoru [V]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0AD1" w14:textId="2616B193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400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9B0C4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67CE49C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BC14" w14:textId="70F7B31A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Stupeň ochrany alternátoru [IP]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93EA" w14:textId="48AF8344" w:rsidR="000966E6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 23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7C3EAB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2DCA2ED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213E" w14:textId="3EE71B03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Typ regulátoru napětí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28EF" w14:textId="1459C0E9" w:rsidR="00544443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DVR, digitální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8A1165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B5109" w:rsidRPr="000261D3" w14:paraId="33262D9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29C7" w14:textId="34E5AF42" w:rsidR="00CB5109" w:rsidRPr="000758CC" w:rsidRDefault="00CB5109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Řídící jednotka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9CAC" w14:textId="69B77FFF" w:rsidR="00CB5109" w:rsidRPr="000758CC" w:rsidRDefault="00CB5109" w:rsidP="00CB510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grafické zobrazení a logování historie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A8432E" w14:textId="77777777" w:rsidR="00CB5109" w:rsidRDefault="00CB5109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4B1A9ED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2EE5" w14:textId="1E7BE28A" w:rsidR="0054444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Výrobce motoru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EEE4" w14:textId="6EA59E2D" w:rsidR="00544443" w:rsidRPr="00E92E53" w:rsidRDefault="0006054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Certifikace </w:t>
            </w:r>
            <w:r w:rsidR="000966E6" w:rsidRPr="000758CC">
              <w:rPr>
                <w:rFonts w:ascii="Calibri" w:hAnsi="Calibri" w:cs="Calibri"/>
                <w:sz w:val="24"/>
                <w:szCs w:val="24"/>
              </w:rPr>
              <w:t>EU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D489A7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77455EAC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D646" w14:textId="20AC107A" w:rsidR="0054444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758CC">
              <w:rPr>
                <w:rFonts w:ascii="Calibri" w:hAnsi="Calibri" w:cs="Calibri"/>
                <w:sz w:val="24"/>
                <w:szCs w:val="24"/>
              </w:rPr>
              <w:t>Typ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E17D" w14:textId="51441AC5" w:rsidR="00544443" w:rsidRPr="00E92E53" w:rsidRDefault="000966E6" w:rsidP="001866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966E6">
              <w:rPr>
                <w:rFonts w:ascii="Calibri" w:hAnsi="Calibri" w:cs="Calibri"/>
                <w:sz w:val="24"/>
                <w:szCs w:val="24"/>
              </w:rPr>
              <w:t>Diesel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AF831A" w14:textId="77777777" w:rsidR="00544443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4443" w:rsidRPr="000261D3" w14:paraId="6E322C67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F1B5" w14:textId="671D1466" w:rsidR="00544443" w:rsidRPr="00AD7BBA" w:rsidRDefault="000966E6" w:rsidP="001866F3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D7BBA">
              <w:rPr>
                <w:rFonts w:ascii="Calibri" w:hAnsi="Calibri" w:cs="Calibri"/>
                <w:color w:val="FF0000"/>
                <w:sz w:val="24"/>
                <w:szCs w:val="24"/>
              </w:rPr>
              <w:t>Max. spotřeba paliva pod zatížením 50% [l/h)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8518" w14:textId="05149F36" w:rsidR="00544443" w:rsidRPr="00AD7BBA" w:rsidRDefault="00B94D2B" w:rsidP="00B54FD0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4</w:t>
            </w:r>
            <w:r w:rsidR="000966E6" w:rsidRPr="00AD7BBA">
              <w:rPr>
                <w:rFonts w:ascii="Calibri" w:hAnsi="Calibri" w:cs="Calibri"/>
                <w:color w:val="FF0000"/>
                <w:sz w:val="24"/>
                <w:szCs w:val="24"/>
              </w:rPr>
              <w:t>,</w:t>
            </w:r>
            <w:r w:rsidR="00B54FD0" w:rsidRPr="00AD7BBA">
              <w:rPr>
                <w:rFonts w:ascii="Calibri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84C97A" w14:textId="7B585AB0" w:rsidR="00544443" w:rsidRPr="00AD7BBA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544443" w:rsidRPr="000261D3" w14:paraId="66A2AA00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5884" w14:textId="1DDFC499" w:rsidR="00544443" w:rsidRPr="00AD7BBA" w:rsidRDefault="000966E6" w:rsidP="0070030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AD7BBA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Min. doba práce MTG bez tankování </w:t>
            </w:r>
            <w:r w:rsidR="0070030B">
              <w:rPr>
                <w:rFonts w:ascii="Calibri" w:hAnsi="Calibri" w:cs="Calibri"/>
                <w:color w:val="FF0000"/>
                <w:sz w:val="24"/>
                <w:szCs w:val="24"/>
              </w:rPr>
              <w:t>50</w:t>
            </w:r>
            <w:r w:rsidRPr="00AD7BBA">
              <w:rPr>
                <w:rFonts w:ascii="Calibri" w:hAnsi="Calibri" w:cs="Calibri"/>
                <w:color w:val="FF0000"/>
                <w:sz w:val="24"/>
                <w:szCs w:val="24"/>
              </w:rPr>
              <w:t>% [h]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856A" w14:textId="04187DC2" w:rsidR="00544443" w:rsidRPr="00AD7BBA" w:rsidRDefault="00715350" w:rsidP="001866F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8F598" w14:textId="079C00A6" w:rsidR="00544443" w:rsidRPr="00AD7BBA" w:rsidRDefault="00544443" w:rsidP="001866F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0966E6" w:rsidRPr="000261D3" w14:paraId="64D6C2AE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F47B" w14:textId="4B358E9D" w:rsidR="000966E6" w:rsidRPr="00B54FD0" w:rsidRDefault="000966E6" w:rsidP="001866F3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Garantovaná akustická hlučnost </w:t>
            </w:r>
            <w:proofErr w:type="spellStart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Lwa</w:t>
            </w:r>
            <w:proofErr w:type="spellEnd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[</w:t>
            </w:r>
            <w:proofErr w:type="spellStart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dBA</w:t>
            </w:r>
            <w:proofErr w:type="spellEnd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F2F8" w14:textId="60AD05C9" w:rsidR="000966E6" w:rsidRPr="00B54FD0" w:rsidRDefault="000966E6" w:rsidP="001866F3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97 </w:t>
            </w:r>
            <w:proofErr w:type="spellStart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1DD73C" w14:textId="06D18EFD" w:rsidR="000966E6" w:rsidRDefault="000966E6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94D2B" w:rsidRPr="000261D3" w14:paraId="2160D2DA" w14:textId="77777777" w:rsidTr="00CB5109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FA15" w14:textId="0E426BCF" w:rsidR="00B94D2B" w:rsidRPr="00B54FD0" w:rsidRDefault="00B94D2B" w:rsidP="00B94D2B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Garantovaná akustická hlučnost </w:t>
            </w:r>
            <w:proofErr w:type="spellStart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p</w:t>
            </w:r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a</w:t>
            </w:r>
            <w:proofErr w:type="spellEnd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[</w:t>
            </w:r>
            <w:proofErr w:type="spellStart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dBA</w:t>
            </w:r>
            <w:proofErr w:type="spellEnd"/>
            <w:r w:rsidRPr="00B54FD0">
              <w:rPr>
                <w:rFonts w:ascii="Calibri" w:hAnsi="Calibri" w:cs="Calibri"/>
                <w:color w:val="FF0000"/>
                <w:sz w:val="24"/>
                <w:szCs w:val="24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BDC3" w14:textId="34DE5B1B" w:rsidR="00B94D2B" w:rsidRPr="00B54FD0" w:rsidRDefault="00B94D2B" w:rsidP="000C4476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6</w:t>
            </w:r>
            <w:r w:rsidR="000C4476">
              <w:rPr>
                <w:rFonts w:ascii="Calibri" w:hAnsi="Calibri" w:cs="Calibri"/>
                <w:color w:val="FF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C1BC48" w14:textId="3067399B" w:rsidR="00B94D2B" w:rsidRDefault="00B94D2B" w:rsidP="00186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137777B" w14:textId="77777777" w:rsidR="0038306E" w:rsidRDefault="0038306E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568704C3" w14:textId="77777777" w:rsidR="000966E6" w:rsidRDefault="000966E6" w:rsidP="000966E6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Dodatečné informace/datasheety připojí uchazeč přílohou.</w:t>
      </w:r>
    </w:p>
    <w:p w14:paraId="17E56601" w14:textId="77777777" w:rsidR="000966E6" w:rsidRDefault="000966E6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1B27E688" w14:textId="77777777" w:rsidR="00D864FF" w:rsidRPr="00E92E53" w:rsidRDefault="00D864FF" w:rsidP="0038306E">
      <w:pPr>
        <w:spacing w:after="0"/>
        <w:rPr>
          <w:rFonts w:ascii="Calibri" w:hAnsi="Calibri" w:cs="Calibri"/>
          <w:color w:val="000000"/>
          <w:sz w:val="24"/>
          <w:szCs w:val="24"/>
          <w:lang w:eastAsia="cs-CZ"/>
        </w:rPr>
      </w:pPr>
    </w:p>
    <w:sectPr w:rsidR="00D864FF" w:rsidRPr="00E92E53" w:rsidSect="00AE7FB3">
      <w:headerReference w:type="default" r:id="rId8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21C0" w14:textId="77777777" w:rsidR="0062379F" w:rsidRDefault="0062379F" w:rsidP="00EC2645">
      <w:pPr>
        <w:spacing w:after="0" w:line="240" w:lineRule="auto"/>
      </w:pPr>
      <w:r>
        <w:separator/>
      </w:r>
    </w:p>
  </w:endnote>
  <w:endnote w:type="continuationSeparator" w:id="0">
    <w:p w14:paraId="6F626B16" w14:textId="77777777" w:rsidR="0062379F" w:rsidRDefault="0062379F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DDCB" w14:textId="77777777" w:rsidR="0062379F" w:rsidRDefault="0062379F" w:rsidP="00EC2645">
      <w:pPr>
        <w:spacing w:after="0" w:line="240" w:lineRule="auto"/>
      </w:pPr>
      <w:r>
        <w:separator/>
      </w:r>
    </w:p>
  </w:footnote>
  <w:footnote w:type="continuationSeparator" w:id="0">
    <w:p w14:paraId="6EE8D594" w14:textId="77777777" w:rsidR="0062379F" w:rsidRDefault="0062379F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2057F" w14:textId="0D974AED" w:rsidR="000613F5" w:rsidRPr="000613F5" w:rsidRDefault="000613F5" w:rsidP="000613F5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3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867"/>
    <w:multiLevelType w:val="hybridMultilevel"/>
    <w:tmpl w:val="D8304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E16"/>
    <w:multiLevelType w:val="multilevel"/>
    <w:tmpl w:val="CCB6ED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10FB"/>
    <w:multiLevelType w:val="hybridMultilevel"/>
    <w:tmpl w:val="68060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60546"/>
    <w:rsid w:val="000613F5"/>
    <w:rsid w:val="00084588"/>
    <w:rsid w:val="000966E6"/>
    <w:rsid w:val="000C4476"/>
    <w:rsid w:val="0010010A"/>
    <w:rsid w:val="00121CEF"/>
    <w:rsid w:val="001E3386"/>
    <w:rsid w:val="001E7459"/>
    <w:rsid w:val="00286BC2"/>
    <w:rsid w:val="0038306E"/>
    <w:rsid w:val="003D0169"/>
    <w:rsid w:val="0045578F"/>
    <w:rsid w:val="004607F8"/>
    <w:rsid w:val="00495E2E"/>
    <w:rsid w:val="004D398C"/>
    <w:rsid w:val="004E0188"/>
    <w:rsid w:val="005426D3"/>
    <w:rsid w:val="00544443"/>
    <w:rsid w:val="005616B2"/>
    <w:rsid w:val="00563D30"/>
    <w:rsid w:val="00577E18"/>
    <w:rsid w:val="005A6DE4"/>
    <w:rsid w:val="005B172A"/>
    <w:rsid w:val="005B2AF4"/>
    <w:rsid w:val="005E2F3F"/>
    <w:rsid w:val="0062379F"/>
    <w:rsid w:val="006A4252"/>
    <w:rsid w:val="006B6428"/>
    <w:rsid w:val="0070030B"/>
    <w:rsid w:val="00715350"/>
    <w:rsid w:val="00731069"/>
    <w:rsid w:val="00747FFD"/>
    <w:rsid w:val="00780C4E"/>
    <w:rsid w:val="007839DC"/>
    <w:rsid w:val="00791BE3"/>
    <w:rsid w:val="007C5A5B"/>
    <w:rsid w:val="00804496"/>
    <w:rsid w:val="008416F5"/>
    <w:rsid w:val="00853834"/>
    <w:rsid w:val="00875548"/>
    <w:rsid w:val="008A24D9"/>
    <w:rsid w:val="008A5D3A"/>
    <w:rsid w:val="008B5C1C"/>
    <w:rsid w:val="00952D65"/>
    <w:rsid w:val="009D0505"/>
    <w:rsid w:val="009D181E"/>
    <w:rsid w:val="00A012EB"/>
    <w:rsid w:val="00A040B8"/>
    <w:rsid w:val="00A208E1"/>
    <w:rsid w:val="00A27781"/>
    <w:rsid w:val="00A96305"/>
    <w:rsid w:val="00AA76AD"/>
    <w:rsid w:val="00AB326D"/>
    <w:rsid w:val="00AC51E6"/>
    <w:rsid w:val="00AD5BD8"/>
    <w:rsid w:val="00AD7BBA"/>
    <w:rsid w:val="00AF5B0F"/>
    <w:rsid w:val="00B34F9F"/>
    <w:rsid w:val="00B54FD0"/>
    <w:rsid w:val="00B6641A"/>
    <w:rsid w:val="00B75540"/>
    <w:rsid w:val="00B94D2B"/>
    <w:rsid w:val="00BC00A4"/>
    <w:rsid w:val="00BF6ED9"/>
    <w:rsid w:val="00C416AF"/>
    <w:rsid w:val="00C42F88"/>
    <w:rsid w:val="00C776DD"/>
    <w:rsid w:val="00CB5109"/>
    <w:rsid w:val="00CC1272"/>
    <w:rsid w:val="00CD25A1"/>
    <w:rsid w:val="00CD6FD6"/>
    <w:rsid w:val="00CD78A3"/>
    <w:rsid w:val="00D864FF"/>
    <w:rsid w:val="00DA0956"/>
    <w:rsid w:val="00DB21CD"/>
    <w:rsid w:val="00DC52FB"/>
    <w:rsid w:val="00E346A3"/>
    <w:rsid w:val="00E640A6"/>
    <w:rsid w:val="00EB4A3B"/>
    <w:rsid w:val="00EC2645"/>
    <w:rsid w:val="00ED462A"/>
    <w:rsid w:val="00ED71CD"/>
    <w:rsid w:val="00F17C6C"/>
    <w:rsid w:val="00F33434"/>
    <w:rsid w:val="00F37F3D"/>
    <w:rsid w:val="00F47548"/>
    <w:rsid w:val="00F6459E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8306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D864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C852-C420-49E4-AD28-F4F8912F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5529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25</cp:revision>
  <cp:lastPrinted>2022-07-01T08:30:00Z</cp:lastPrinted>
  <dcterms:created xsi:type="dcterms:W3CDTF">2022-09-20T08:54:00Z</dcterms:created>
  <dcterms:modified xsi:type="dcterms:W3CDTF">2022-09-27T10:42:00Z</dcterms:modified>
</cp:coreProperties>
</file>