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781AA070" w:rsidR="00AB5244" w:rsidRPr="00AB5244" w:rsidRDefault="00AB5244" w:rsidP="000C4AE5">
      <w:pPr>
        <w:jc w:val="center"/>
      </w:pPr>
      <w:r w:rsidRPr="007217B0">
        <w:t xml:space="preserve">zadávanou v souladu s ustanovením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15429DAB" w:rsidR="00AB5244" w:rsidRPr="005A0818" w:rsidRDefault="008D4A89" w:rsidP="000C4AE5">
      <w:pPr>
        <w:jc w:val="center"/>
        <w:rPr>
          <w:b/>
          <w:caps/>
          <w:color w:val="E36C0A" w:themeColor="accent6" w:themeShade="BF"/>
          <w:sz w:val="40"/>
        </w:rPr>
      </w:pPr>
      <w:bookmarkStart w:id="0" w:name="_Hlk109391756"/>
      <w:r>
        <w:rPr>
          <w:b/>
          <w:caps/>
          <w:color w:val="E36C0A" w:themeColor="accent6" w:themeShade="BF"/>
          <w:sz w:val="40"/>
        </w:rPr>
        <w:t xml:space="preserve">Dodávky elektrické energie </w:t>
      </w:r>
      <w:r w:rsidR="0069251F">
        <w:rPr>
          <w:b/>
          <w:caps/>
          <w:color w:val="E36C0A" w:themeColor="accent6" w:themeShade="BF"/>
          <w:sz w:val="40"/>
        </w:rPr>
        <w:t>na rok 2023</w:t>
      </w:r>
    </w:p>
    <w:bookmarkEnd w:id="0"/>
    <w:p w14:paraId="609D2F16" w14:textId="49D77710" w:rsidR="009066E9" w:rsidRPr="00E4471E" w:rsidRDefault="00E4471E" w:rsidP="00E4471E">
      <w:pPr>
        <w:jc w:val="center"/>
        <w:rPr>
          <w:b/>
          <w:bCs/>
          <w:sz w:val="36"/>
          <w:szCs w:val="36"/>
        </w:rPr>
      </w:pPr>
      <w:r w:rsidRPr="009D0B7A">
        <w:rPr>
          <w:b/>
          <w:bCs/>
          <w:sz w:val="36"/>
          <w:szCs w:val="36"/>
        </w:rPr>
        <w:t>Z2</w:t>
      </w:r>
      <w:r w:rsidR="0068286E" w:rsidRPr="009D0B7A">
        <w:rPr>
          <w:b/>
          <w:bCs/>
          <w:sz w:val="36"/>
          <w:szCs w:val="36"/>
        </w:rPr>
        <w:t>2</w:t>
      </w:r>
      <w:r w:rsidR="009D0B7A" w:rsidRPr="009D0B7A">
        <w:rPr>
          <w:b/>
          <w:bCs/>
          <w:sz w:val="36"/>
          <w:szCs w:val="36"/>
        </w:rPr>
        <w:t>050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3BD48354" w14:textId="62BF0DA6" w:rsidR="003B0915" w:rsidRDefault="003B0915" w:rsidP="000C4AE5">
      <w:pPr>
        <w:spacing w:after="0"/>
        <w:rPr>
          <w:b/>
        </w:rPr>
      </w:pPr>
    </w:p>
    <w:p w14:paraId="567B74DE" w14:textId="593F4123" w:rsidR="003B0915" w:rsidRDefault="003B0915" w:rsidP="000C4AE5">
      <w:pPr>
        <w:spacing w:after="0"/>
        <w:rPr>
          <w:b/>
        </w:rPr>
      </w:pPr>
    </w:p>
    <w:p w14:paraId="6AB2C968" w14:textId="67E597FC" w:rsidR="003B0915" w:rsidRDefault="003B0915" w:rsidP="000C4AE5">
      <w:pPr>
        <w:spacing w:after="0"/>
        <w:rPr>
          <w:b/>
        </w:rPr>
      </w:pPr>
    </w:p>
    <w:p w14:paraId="6E048C64" w14:textId="3F8ABD1B" w:rsidR="003B0915" w:rsidRDefault="003B0915" w:rsidP="000C4AE5">
      <w:pPr>
        <w:spacing w:after="0"/>
        <w:rPr>
          <w:b/>
        </w:rPr>
      </w:pPr>
    </w:p>
    <w:p w14:paraId="48859A7C" w14:textId="4884738B" w:rsidR="003B0915" w:rsidRDefault="003B0915" w:rsidP="000C4AE5">
      <w:pPr>
        <w:spacing w:after="0"/>
        <w:rPr>
          <w:b/>
        </w:rPr>
      </w:pPr>
    </w:p>
    <w:p w14:paraId="1C5175F0" w14:textId="428984D0" w:rsidR="003B0915" w:rsidRDefault="003B0915" w:rsidP="000C4AE5">
      <w:pPr>
        <w:spacing w:after="0"/>
        <w:rPr>
          <w:b/>
        </w:rPr>
      </w:pPr>
    </w:p>
    <w:p w14:paraId="577EAD37" w14:textId="77777777" w:rsidR="003B0915" w:rsidRDefault="003B0915" w:rsidP="000C4AE5">
      <w:pPr>
        <w:spacing w:after="0"/>
        <w:rPr>
          <w:b/>
        </w:rPr>
      </w:pPr>
    </w:p>
    <w:p w14:paraId="750AAF89" w14:textId="77777777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1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1"/>
    </w:p>
    <w:p w14:paraId="47B2160B" w14:textId="3D592479" w:rsidR="00AB5244" w:rsidRPr="00F015C1" w:rsidRDefault="00AB5244" w:rsidP="00DA7226">
      <w:pPr>
        <w:pStyle w:val="Nadpis1"/>
      </w:pPr>
      <w:r w:rsidRPr="00F015C1">
        <w:lastRenderedPageBreak/>
        <w:t>REŽIM ŘÍZENÍ</w:t>
      </w:r>
    </w:p>
    <w:p w14:paraId="16047D04" w14:textId="1DAE9BA9" w:rsidR="00AB5244" w:rsidRPr="003974C8" w:rsidRDefault="00AB5244" w:rsidP="000C4AE5">
      <w:r w:rsidRPr="003974C8">
        <w:t xml:space="preserve">Tato veřejná zakázka na </w:t>
      </w:r>
      <w:r w:rsidR="00FD101F" w:rsidRPr="003974C8">
        <w:t>dodávky</w:t>
      </w:r>
      <w:r w:rsidRPr="003974C8">
        <w:t xml:space="preserve"> s názvem </w:t>
      </w:r>
      <w:r w:rsidRPr="003974C8">
        <w:rPr>
          <w:b/>
        </w:rPr>
        <w:t>„</w:t>
      </w:r>
      <w:r w:rsidR="006F7038">
        <w:rPr>
          <w:b/>
        </w:rPr>
        <w:t>Dodávky elektrické energie na rok 2023</w:t>
      </w:r>
      <w:r w:rsidRPr="003974C8">
        <w:rPr>
          <w:b/>
        </w:rPr>
        <w:t xml:space="preserve">“ </w:t>
      </w:r>
      <w:r w:rsidRPr="003974C8">
        <w:t>(dále jen „</w:t>
      </w:r>
      <w:r w:rsidRPr="003974C8">
        <w:rPr>
          <w:b/>
        </w:rPr>
        <w:t>Veřejná zakázka</w:t>
      </w:r>
      <w:r w:rsidRPr="003974C8">
        <w:t xml:space="preserve">“) je zadávána ve smyslu § </w:t>
      </w:r>
      <w:r w:rsidR="00DD534C" w:rsidRPr="003974C8">
        <w:t>5</w:t>
      </w:r>
      <w:r w:rsidR="000339D4" w:rsidRPr="003974C8">
        <w:t>6</w:t>
      </w:r>
      <w:r w:rsidR="00DD534C" w:rsidRPr="003974C8">
        <w:t xml:space="preserve"> </w:t>
      </w:r>
      <w:r w:rsidRPr="003974C8">
        <w:t xml:space="preserve">ZZVZ </w:t>
      </w:r>
      <w:r w:rsidR="00DD534C" w:rsidRPr="003974C8">
        <w:t xml:space="preserve">v </w:t>
      </w:r>
      <w:r w:rsidR="000339D4" w:rsidRPr="003974C8">
        <w:t>otevřeném nad</w:t>
      </w:r>
      <w:r w:rsidR="00DD534C" w:rsidRPr="003974C8">
        <w:t>limitním řízení.</w:t>
      </w:r>
      <w:r w:rsidRPr="003974C8">
        <w:t xml:space="preserve"> </w:t>
      </w:r>
    </w:p>
    <w:p w14:paraId="5D2461D6" w14:textId="79AB0F32" w:rsidR="003974C8" w:rsidRPr="003974C8" w:rsidRDefault="003974C8" w:rsidP="000C4AE5">
      <w:r w:rsidRPr="003974C8">
        <w:t xml:space="preserve">Na základě </w:t>
      </w:r>
      <w:r w:rsidR="00D52005">
        <w:t>z</w:t>
      </w:r>
      <w:r w:rsidRPr="003974C8">
        <w:t xml:space="preserve">adávacího řízení bude s vybraným dodavatelem, jehož nabídka bude v </w:t>
      </w:r>
      <w:r w:rsidR="00EA0E4F">
        <w:t>z</w:t>
      </w:r>
      <w:r w:rsidRPr="003974C8">
        <w:t xml:space="preserve">adávacím řízení vyhodnocena jako nejvýhodnější, uzavřena </w:t>
      </w:r>
      <w:r w:rsidR="00B0020F">
        <w:t>smlouva</w:t>
      </w:r>
      <w:r w:rsidRPr="003974C8">
        <w:t xml:space="preserve"> na plnění předmětu Veřejné zakázky (dále jen „</w:t>
      </w:r>
      <w:r w:rsidR="00B0020F">
        <w:rPr>
          <w:b/>
          <w:bCs/>
        </w:rPr>
        <w:t>Smlouva</w:t>
      </w:r>
      <w:r w:rsidRPr="003974C8">
        <w:t xml:space="preserve">“). </w:t>
      </w:r>
      <w:r w:rsidR="004B0118" w:rsidRPr="005D1D2E">
        <w:rPr>
          <w:b/>
          <w:bCs/>
        </w:rPr>
        <w:t xml:space="preserve">Příslušný návrh </w:t>
      </w:r>
      <w:r w:rsidRPr="005D1D2E">
        <w:rPr>
          <w:b/>
          <w:bCs/>
        </w:rPr>
        <w:t xml:space="preserve">Smlouvy </w:t>
      </w:r>
      <w:r w:rsidR="004B0118" w:rsidRPr="005D1D2E">
        <w:rPr>
          <w:b/>
          <w:bCs/>
        </w:rPr>
        <w:t xml:space="preserve">předloží </w:t>
      </w:r>
      <w:r w:rsidR="00651C45" w:rsidRPr="005D1D2E">
        <w:rPr>
          <w:b/>
          <w:bCs/>
        </w:rPr>
        <w:t>v rámci nabídky dodavatel.</w:t>
      </w:r>
      <w:r w:rsidR="00651C45">
        <w:t xml:space="preserve"> </w:t>
      </w:r>
    </w:p>
    <w:p w14:paraId="5A160BFA" w14:textId="3A4B3F51" w:rsidR="00AB5244" w:rsidRDefault="00EB5E75" w:rsidP="000C4AE5">
      <w:bookmarkStart w:id="2" w:name="_Hlk51231979"/>
      <w:r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>Zadávací dokumentace</w:t>
      </w:r>
      <w:r w:rsidR="00AB5244" w:rsidRPr="00760B83">
        <w:t xml:space="preserve">“) je uveřejněna na profilu </w:t>
      </w:r>
      <w:r w:rsidR="00937669">
        <w:t>Z</w:t>
      </w:r>
      <w:r w:rsidR="00AB5244" w:rsidRPr="00760B83">
        <w:t>adavatele:</w:t>
      </w:r>
      <w:bookmarkEnd w:id="2"/>
      <w:r w:rsidR="00233190">
        <w:t xml:space="preserve"> </w:t>
      </w:r>
      <w:hyperlink r:id="rId8" w:history="1">
        <w:r w:rsidR="006D42EA" w:rsidRPr="003974C8">
          <w:rPr>
            <w:rStyle w:val="Hypertextovodkaz"/>
          </w:rPr>
          <w:t>https://profily.proebiz.com/profile/28746503</w:t>
        </w:r>
      </w:hyperlink>
      <w:r w:rsidR="00233190">
        <w:t>.</w:t>
      </w:r>
    </w:p>
    <w:p w14:paraId="1AD6562E" w14:textId="57CDD38B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Zadávací dokumentace je souhrnem požadavků </w:t>
      </w:r>
      <w:r w:rsidR="00B577C5">
        <w:rPr>
          <w:rFonts w:cs="Tahoma"/>
        </w:rPr>
        <w:t>Z</w:t>
      </w:r>
      <w:r w:rsidR="003974C8" w:rsidRPr="00760B83">
        <w:rPr>
          <w:rFonts w:cs="Tahoma"/>
        </w:rPr>
        <w:t>adavatele,</w:t>
      </w:r>
      <w:r w:rsidRPr="00760B83">
        <w:rPr>
          <w:rFonts w:cs="Tahoma"/>
        </w:rPr>
        <w:t xml:space="preserve">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033666F9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4083E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004EB7F1" w14:textId="546C5C1F" w:rsidR="003974C8" w:rsidRPr="003974C8" w:rsidRDefault="003974C8" w:rsidP="003974C8">
      <w:pPr>
        <w:rPr>
          <w:rFonts w:cs="Tahoma"/>
        </w:rPr>
      </w:pPr>
      <w:r w:rsidRPr="003974C8">
        <w:rPr>
          <w:rFonts w:cs="Tahoma"/>
        </w:rPr>
        <w:t xml:space="preserve">Písemná komunikace mezi </w:t>
      </w:r>
      <w:r w:rsidR="00B30E24">
        <w:rPr>
          <w:rFonts w:cs="Tahoma"/>
        </w:rPr>
        <w:t>Z</w:t>
      </w:r>
      <w:r w:rsidRPr="003974C8">
        <w:rPr>
          <w:rFonts w:cs="Tahoma"/>
        </w:rPr>
        <w:t>adavatelem a dodavatelem bude v souladu s ustanovením § 211 odst. 3 ZZVZ probíhat elektronickými prostředky. Veškeré informace k elektronické komunikaci prostřednictvím systému JOSEPHINE (</w:t>
      </w:r>
      <w:hyperlink r:id="rId9" w:history="1">
        <w:r w:rsidRPr="003974C8">
          <w:rPr>
            <w:rStyle w:val="Hypertextovodkaz"/>
            <w:rFonts w:cs="Tahoma"/>
          </w:rPr>
          <w:t>http://josephine.proebiz.com</w:t>
        </w:r>
      </w:hyperlink>
      <w:r w:rsidRPr="003974C8">
        <w:rPr>
          <w:rFonts w:cs="Tahoma"/>
        </w:rPr>
        <w:t xml:space="preserve">) jsou uvedeny </w:t>
      </w:r>
      <w:r w:rsidRPr="00B819F5">
        <w:rPr>
          <w:rFonts w:cs="Tahoma"/>
        </w:rPr>
        <w:t>v příloze č.</w:t>
      </w:r>
      <w:r w:rsidRPr="003974C8">
        <w:rPr>
          <w:rFonts w:cs="Tahoma"/>
        </w:rPr>
        <w:t xml:space="preserve"> </w:t>
      </w:r>
      <w:r w:rsidR="00AF0162">
        <w:rPr>
          <w:rFonts w:cs="Tahoma"/>
        </w:rPr>
        <w:t>6</w:t>
      </w:r>
      <w:r w:rsidRPr="003974C8">
        <w:rPr>
          <w:rFonts w:cs="Tahoma"/>
        </w:rPr>
        <w:t xml:space="preserve"> Zadávací dokumentace s názvem „Požadavky na elektronickou komunikaci JOSEPHINE“. </w:t>
      </w:r>
    </w:p>
    <w:p w14:paraId="7DD3138A" w14:textId="2F53FE4B" w:rsidR="00AB5244" w:rsidRDefault="003974C8" w:rsidP="003974C8">
      <w:pPr>
        <w:rPr>
          <w:rFonts w:cs="Tahoma"/>
        </w:rPr>
      </w:pPr>
      <w:r w:rsidRPr="003974C8">
        <w:rPr>
          <w:rFonts w:cs="Tahoma"/>
        </w:rPr>
        <w:t xml:space="preserve">Na vypracování přílohy č. </w:t>
      </w:r>
      <w:r w:rsidR="00AF0162">
        <w:rPr>
          <w:rFonts w:cs="Tahoma"/>
        </w:rPr>
        <w:t>6</w:t>
      </w:r>
      <w:r w:rsidRPr="003974C8">
        <w:rPr>
          <w:rFonts w:cs="Tahoma"/>
        </w:rPr>
        <w:t xml:space="preserve"> Zadávací dokumentace s názvem „Požadavky na elektronickou komunikaci JOSEPHINE“ se podílela osoba odlišná od </w:t>
      </w:r>
      <w:r>
        <w:rPr>
          <w:rFonts w:cs="Tahoma"/>
        </w:rPr>
        <w:t>z</w:t>
      </w:r>
      <w:r w:rsidRPr="003974C8">
        <w:rPr>
          <w:rFonts w:cs="Tahoma"/>
        </w:rPr>
        <w:t>adavatele. Touto osobou je obchodní společnost PROEBIZ s.r.o., IČO: 646 16 398, se sídlem Masarykovo náměstí 52/33, Moravská Ostrava, 702 00 Ostrava</w:t>
      </w:r>
      <w:r w:rsidR="00AB5244" w:rsidRPr="00D41B53">
        <w:rPr>
          <w:rFonts w:cs="Tahoma"/>
        </w:rPr>
        <w:t>.</w:t>
      </w:r>
      <w:r w:rsidR="00AB5244"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DA7226">
      <w:pPr>
        <w:pStyle w:val="Nadpis1"/>
      </w:pPr>
      <w:r w:rsidRPr="008A3A0A">
        <w:t xml:space="preserve">SPECIFIKACE ZADAVATELE </w:t>
      </w:r>
    </w:p>
    <w:p w14:paraId="0A202169" w14:textId="60F19C05" w:rsidR="00EB5E75" w:rsidRPr="006A7B90" w:rsidRDefault="00EB5E75" w:rsidP="00DA7226">
      <w:pPr>
        <w:pStyle w:val="Nadpis2"/>
        <w:ind w:left="851" w:hanging="851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 w:rsidRPr="00E92691">
        <w:rPr>
          <w:rFonts w:cs="Arial"/>
          <w:b/>
          <w:bCs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IČ: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DIČ:</w:t>
      </w:r>
      <w:r w:rsidRPr="00E92691">
        <w:rPr>
          <w:rFonts w:cs="Arial"/>
          <w:b/>
          <w:bCs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E92691">
        <w:rPr>
          <w:rFonts w:cs="Arial"/>
          <w:b/>
          <w:bCs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 w:rsidRPr="00E92691">
        <w:rPr>
          <w:rFonts w:cs="Arial"/>
          <w:b/>
          <w:bCs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6043933A" w:rsidR="00EB5E75" w:rsidRDefault="0099577D" w:rsidP="000C4AE5">
      <w:pPr>
        <w:spacing w:after="0"/>
        <w:ind w:hanging="2"/>
        <w:rPr>
          <w:rFonts w:cs="Arial"/>
        </w:rPr>
      </w:pPr>
      <w:r w:rsidRPr="00E92691">
        <w:rPr>
          <w:rFonts w:cs="Arial"/>
          <w:b/>
          <w:bCs/>
        </w:rPr>
        <w:t>zastoupený:</w:t>
      </w:r>
      <w:r>
        <w:rPr>
          <w:rFonts w:cs="Arial"/>
        </w:rPr>
        <w:t xml:space="preserve">  </w:t>
      </w:r>
      <w:r w:rsidR="00EB5E75"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 w:rsidR="00EB5E75"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 w:rsidP="00DA7226">
      <w:pPr>
        <w:pStyle w:val="Nadpis2"/>
        <w:ind w:left="851" w:hanging="851"/>
        <w:rPr>
          <w:color w:val="000000"/>
        </w:rPr>
      </w:pPr>
      <w:r w:rsidRPr="006D42EA"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Název</w:t>
      </w:r>
      <w:r w:rsidRPr="006D42EA">
        <w:rPr>
          <w:rFonts w:cs="Arial"/>
        </w:rPr>
        <w:t>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lastRenderedPageBreak/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1CFF312E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 xml:space="preserve">se </w:t>
      </w:r>
      <w:r w:rsidR="00E92691" w:rsidRPr="00E92691">
        <w:rPr>
          <w:rFonts w:cs="Arial"/>
          <w:b/>
          <w:bCs/>
        </w:rPr>
        <w:t>sídlem:</w:t>
      </w:r>
      <w:r w:rsidR="00E92691" w:rsidRPr="006D42EA">
        <w:rPr>
          <w:rFonts w:cs="Arial"/>
        </w:rPr>
        <w:t xml:space="preserve"> </w:t>
      </w:r>
      <w:r w:rsidR="00E92691" w:rsidRPr="006D42EA">
        <w:rPr>
          <w:rFonts w:cs="Arial"/>
        </w:rPr>
        <w:tab/>
      </w:r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0028C06D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kontakt</w:t>
      </w:r>
      <w:r w:rsidRPr="006D42EA">
        <w:rPr>
          <w:rFonts w:cs="Arial"/>
        </w:rPr>
        <w:t>:</w:t>
      </w:r>
      <w:r w:rsidRPr="006D42EA">
        <w:rPr>
          <w:rFonts w:cs="Arial"/>
        </w:rPr>
        <w:tab/>
      </w:r>
      <w:r w:rsidR="00EC5F5C">
        <w:rPr>
          <w:rFonts w:cs="Arial"/>
        </w:rPr>
        <w:t>Mgr. Mária Kopecká</w:t>
      </w:r>
    </w:p>
    <w:p w14:paraId="5C065425" w14:textId="1AC5A582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e</w:t>
      </w:r>
      <w:r w:rsidR="00EB5E75" w:rsidRPr="00E92691">
        <w:rPr>
          <w:rFonts w:cs="Arial"/>
          <w:b/>
          <w:bCs/>
        </w:rPr>
        <w:t>-mail:</w:t>
      </w:r>
      <w:r w:rsidR="00EB5E75" w:rsidRPr="00E92691">
        <w:rPr>
          <w:rFonts w:cs="Arial"/>
          <w:b/>
          <w:bCs/>
        </w:rPr>
        <w:tab/>
      </w:r>
      <w:r w:rsidR="00253100" w:rsidRPr="006D42EA">
        <w:rPr>
          <w:rFonts w:cs="Arial"/>
        </w:rPr>
        <w:tab/>
      </w:r>
      <w:hyperlink r:id="rId10" w:history="1">
        <w:r w:rsidR="00EC5F5C" w:rsidRPr="003C67AD">
          <w:rPr>
            <w:rStyle w:val="Hypertextovodkaz"/>
          </w:rPr>
          <w:t>maria.kopecka@havelpartners.cz</w:t>
        </w:r>
      </w:hyperlink>
      <w:r w:rsidR="00EC5F5C"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79D6FB09" w14:textId="5FF805AD" w:rsidR="00EB5E75" w:rsidRDefault="00EB5E75" w:rsidP="000C4AE5">
      <w:pPr>
        <w:pStyle w:val="Bezmezer"/>
        <w:spacing w:line="276" w:lineRule="auto"/>
        <w:rPr>
          <w:rFonts w:cs="Arial"/>
        </w:rPr>
      </w:pPr>
      <w:r w:rsidRPr="00E92691">
        <w:rPr>
          <w:rFonts w:cs="Arial"/>
          <w:b/>
          <w:bCs/>
        </w:rPr>
        <w:t>tel:</w:t>
      </w:r>
      <w:r w:rsidRPr="006D42EA">
        <w:rPr>
          <w:rFonts w:cs="Arial"/>
        </w:rPr>
        <w:t xml:space="preserve">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EC5F5C">
        <w:rPr>
          <w:rFonts w:cs="Arial"/>
        </w:rPr>
        <w:t> 545 423 450</w:t>
      </w:r>
    </w:p>
    <w:p w14:paraId="1CA7340F" w14:textId="167F9958" w:rsidR="00E92691" w:rsidRDefault="00E92691" w:rsidP="00E92691">
      <w:pPr>
        <w:spacing w:before="120"/>
      </w:pPr>
      <w:r w:rsidRPr="008973B9">
        <w:t>(dále jen „</w:t>
      </w:r>
      <w:r>
        <w:rPr>
          <w:b/>
        </w:rPr>
        <w:t>Zástupce</w:t>
      </w:r>
      <w:r w:rsidRPr="008973B9">
        <w:t>“)</w:t>
      </w:r>
    </w:p>
    <w:p w14:paraId="6D347F0F" w14:textId="77777777" w:rsidR="00084803" w:rsidRDefault="00EB5E75" w:rsidP="00CB4540">
      <w:pPr>
        <w:spacing w:before="120"/>
      </w:pPr>
      <w:r w:rsidRPr="005E16CD">
        <w:t>Zástupce zastupuje Zadavatele při výkonu práv a povinností podle ZZVZ souvisejících se zadávacím řízením, a to ve smyslu ustanovení § 43 ZZVZ</w:t>
      </w:r>
      <w:r w:rsidR="00084803" w:rsidRPr="005E16CD">
        <w:t>, s omezeními z tohoto ustanovení plynoucími.</w:t>
      </w:r>
    </w:p>
    <w:p w14:paraId="57DD77E2" w14:textId="77777777" w:rsidR="00253100" w:rsidRPr="00190229" w:rsidRDefault="00253100" w:rsidP="00DA7226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 w:rsidP="00DA7226">
      <w:pPr>
        <w:pStyle w:val="Nadpis2"/>
        <w:ind w:left="851" w:hanging="851"/>
      </w:pPr>
      <w:r w:rsidRPr="00253100">
        <w:t>Předmět Veřejné zakázky</w:t>
      </w:r>
    </w:p>
    <w:p w14:paraId="6A0C423A" w14:textId="0C92327F" w:rsidR="00E20DF3" w:rsidRDefault="00EA44FD" w:rsidP="003577C9">
      <w:pPr>
        <w:spacing w:before="120"/>
        <w:rPr>
          <w:rFonts w:cs="Tahoma"/>
        </w:rPr>
      </w:pPr>
      <w:r w:rsidRPr="00EA44FD">
        <w:rPr>
          <w:rFonts w:cs="Tahoma"/>
        </w:rPr>
        <w:t xml:space="preserve">Předmětem </w:t>
      </w:r>
      <w:r w:rsidR="000411AF">
        <w:rPr>
          <w:rFonts w:cs="Tahoma"/>
        </w:rPr>
        <w:t xml:space="preserve">Veřejné </w:t>
      </w:r>
      <w:r w:rsidR="00D477BB">
        <w:rPr>
          <w:rFonts w:cs="Tahoma"/>
        </w:rPr>
        <w:t xml:space="preserve">zakázky jsou dodávky elektrické energie </w:t>
      </w:r>
      <w:r w:rsidR="00D50AD6">
        <w:rPr>
          <w:rFonts w:cs="Tahoma"/>
        </w:rPr>
        <w:t>z napěťové hladiny nízkého napětí (dále jen „</w:t>
      </w:r>
      <w:r w:rsidR="00D50AD6" w:rsidRPr="00D50AD6">
        <w:rPr>
          <w:rFonts w:cs="Tahoma"/>
          <w:b/>
          <w:bCs/>
        </w:rPr>
        <w:t>NN</w:t>
      </w:r>
      <w:r w:rsidR="00D50AD6">
        <w:rPr>
          <w:rFonts w:cs="Tahoma"/>
        </w:rPr>
        <w:t xml:space="preserve">“) a </w:t>
      </w:r>
      <w:r w:rsidR="00404146">
        <w:rPr>
          <w:rFonts w:cs="Tahoma"/>
        </w:rPr>
        <w:t>vysokého napětí (dále jen „</w:t>
      </w:r>
      <w:r w:rsidR="00404146" w:rsidRPr="00404146">
        <w:rPr>
          <w:rFonts w:cs="Tahoma"/>
          <w:b/>
          <w:bCs/>
        </w:rPr>
        <w:t>VN</w:t>
      </w:r>
      <w:r w:rsidR="00404146">
        <w:rPr>
          <w:rFonts w:cs="Tahoma"/>
        </w:rPr>
        <w:t>“) na období od</w:t>
      </w:r>
      <w:r w:rsidR="00411D5A">
        <w:rPr>
          <w:rFonts w:cs="Tahoma"/>
        </w:rPr>
        <w:t xml:space="preserve"> </w:t>
      </w:r>
      <w:r w:rsidR="00BB10D0">
        <w:rPr>
          <w:rFonts w:cs="Tahoma"/>
        </w:rPr>
        <w:t xml:space="preserve">účinnosti smlouvy (ne však dříve než od </w:t>
      </w:r>
      <w:r w:rsidR="00411D5A">
        <w:rPr>
          <w:rFonts w:cs="Tahoma"/>
        </w:rPr>
        <w:t>1. 1. 2023</w:t>
      </w:r>
      <w:r w:rsidR="00BB10D0">
        <w:rPr>
          <w:rFonts w:cs="Tahoma"/>
        </w:rPr>
        <w:t>)</w:t>
      </w:r>
      <w:r w:rsidR="00411D5A">
        <w:rPr>
          <w:rFonts w:cs="Tahoma"/>
        </w:rPr>
        <w:t xml:space="preserve"> do 31. 12. 2023</w:t>
      </w:r>
      <w:r w:rsidR="00126211">
        <w:rPr>
          <w:rFonts w:cs="Tahoma"/>
        </w:rPr>
        <w:t xml:space="preserve"> pro Zadavatele </w:t>
      </w:r>
      <w:r w:rsidR="00126211" w:rsidRPr="00126211">
        <w:rPr>
          <w:rFonts w:cs="Tahoma"/>
        </w:rPr>
        <w:t>v kvalitě dle vyhlášky Energetického regulačního úřadu (dále jen</w:t>
      </w:r>
      <w:r w:rsidR="00126211">
        <w:rPr>
          <w:rFonts w:cs="Tahoma"/>
        </w:rPr>
        <w:t xml:space="preserve"> </w:t>
      </w:r>
      <w:r w:rsidR="00126211" w:rsidRPr="00126211">
        <w:rPr>
          <w:rFonts w:cs="Tahoma"/>
        </w:rPr>
        <w:t>„</w:t>
      </w:r>
      <w:r w:rsidR="00126211" w:rsidRPr="00126211">
        <w:rPr>
          <w:rFonts w:cs="Tahoma"/>
          <w:b/>
          <w:bCs/>
        </w:rPr>
        <w:t>ERÚ</w:t>
      </w:r>
      <w:r w:rsidR="00126211" w:rsidRPr="00126211">
        <w:rPr>
          <w:rFonts w:cs="Tahoma"/>
        </w:rPr>
        <w:t>“) č. 540/2005 Sb., o</w:t>
      </w:r>
      <w:r w:rsidR="00EB0C4F">
        <w:rPr>
          <w:rFonts w:cs="Tahoma"/>
        </w:rPr>
        <w:t> </w:t>
      </w:r>
      <w:r w:rsidR="00126211" w:rsidRPr="00126211">
        <w:rPr>
          <w:rFonts w:cs="Tahoma"/>
        </w:rPr>
        <w:t>kvalitě dodávek elektřiny a souvisejících služeb</w:t>
      </w:r>
      <w:r w:rsidR="00126211">
        <w:rPr>
          <w:rFonts w:cs="Tahoma"/>
        </w:rPr>
        <w:t xml:space="preserve"> </w:t>
      </w:r>
      <w:r w:rsidR="00126211" w:rsidRPr="00126211">
        <w:rPr>
          <w:rFonts w:cs="Tahoma"/>
        </w:rPr>
        <w:t xml:space="preserve">v elektroenergetice, ve znění pozdějších předpisů, v předpokládaném ročním množství </w:t>
      </w:r>
      <w:r w:rsidR="00BE552F" w:rsidRPr="00EB0C4F">
        <w:rPr>
          <w:rFonts w:cs="Tahoma"/>
        </w:rPr>
        <w:t xml:space="preserve">přibližně </w:t>
      </w:r>
      <w:r w:rsidR="00790D40" w:rsidRPr="00EB0C4F">
        <w:rPr>
          <w:rFonts w:cs="Tahoma"/>
        </w:rPr>
        <w:t>80</w:t>
      </w:r>
      <w:r w:rsidR="003173B0" w:rsidRPr="00EB0C4F">
        <w:rPr>
          <w:rFonts w:cs="Tahoma"/>
        </w:rPr>
        <w:t xml:space="preserve"> MWh v hladině VN a 250 MWh v hladině NN</w:t>
      </w:r>
      <w:r w:rsidR="00126211" w:rsidRPr="00126211">
        <w:rPr>
          <w:rFonts w:cs="Tahoma"/>
        </w:rPr>
        <w:t xml:space="preserve"> a s tím související závazek</w:t>
      </w:r>
      <w:r w:rsidR="00A650F2">
        <w:rPr>
          <w:rFonts w:cs="Tahoma"/>
        </w:rPr>
        <w:t xml:space="preserve"> </w:t>
      </w:r>
      <w:r w:rsidR="00126211" w:rsidRPr="00126211">
        <w:rPr>
          <w:rFonts w:cs="Tahoma"/>
        </w:rPr>
        <w:t>odběru elektřiny z elektrizační soustavy a</w:t>
      </w:r>
      <w:r w:rsidR="00F37CE6">
        <w:rPr>
          <w:rFonts w:cs="Tahoma"/>
        </w:rPr>
        <w:t> </w:t>
      </w:r>
      <w:r w:rsidR="00126211" w:rsidRPr="00126211">
        <w:rPr>
          <w:rFonts w:cs="Tahoma"/>
        </w:rPr>
        <w:t>převzetí odpovědnosti dodavatele za odchylku</w:t>
      </w:r>
      <w:r w:rsidR="00A650F2">
        <w:rPr>
          <w:rFonts w:cs="Tahoma"/>
        </w:rPr>
        <w:t xml:space="preserve"> Z</w:t>
      </w:r>
      <w:r w:rsidR="00126211" w:rsidRPr="00126211">
        <w:rPr>
          <w:rFonts w:cs="Tahoma"/>
        </w:rPr>
        <w:t>adavatele vůči operátorovi trhu ve smyslu zákona č. 458/2000 Sb., o podmínkách</w:t>
      </w:r>
      <w:r w:rsidR="00A650F2">
        <w:rPr>
          <w:rFonts w:cs="Tahoma"/>
        </w:rPr>
        <w:t xml:space="preserve"> </w:t>
      </w:r>
      <w:r w:rsidR="00126211" w:rsidRPr="00126211">
        <w:rPr>
          <w:rFonts w:cs="Tahoma"/>
        </w:rPr>
        <w:t>podnikání a o výkonu státní správy v energetických odvětvích a o změně některých</w:t>
      </w:r>
      <w:r w:rsidR="00A650F2">
        <w:rPr>
          <w:rFonts w:cs="Tahoma"/>
        </w:rPr>
        <w:t xml:space="preserve"> </w:t>
      </w:r>
      <w:r w:rsidR="00126211" w:rsidRPr="00126211">
        <w:rPr>
          <w:rFonts w:cs="Tahoma"/>
        </w:rPr>
        <w:t>zákonů, ve znění pozdějších přepisů (dále také jako „</w:t>
      </w:r>
      <w:r w:rsidR="00126211" w:rsidRPr="00A650F2">
        <w:rPr>
          <w:rFonts w:cs="Tahoma"/>
          <w:b/>
          <w:bCs/>
        </w:rPr>
        <w:t>energetický zákon</w:t>
      </w:r>
      <w:r w:rsidR="00126211" w:rsidRPr="00126211">
        <w:rPr>
          <w:rFonts w:cs="Tahoma"/>
        </w:rPr>
        <w:t>“), a vyhlášky</w:t>
      </w:r>
      <w:r w:rsidR="00A650F2">
        <w:rPr>
          <w:rFonts w:cs="Tahoma"/>
        </w:rPr>
        <w:t xml:space="preserve"> </w:t>
      </w:r>
      <w:r w:rsidR="00126211" w:rsidRPr="00126211">
        <w:rPr>
          <w:rFonts w:cs="Tahoma"/>
        </w:rPr>
        <w:t>ERÚ č. 408/2015 Sb., o Pravidlech trhu s elektřinou, ve znění pozdějších předpisů</w:t>
      </w:r>
      <w:r w:rsidR="00E20DF3">
        <w:rPr>
          <w:rFonts w:cs="Tahoma"/>
        </w:rPr>
        <w:t xml:space="preserve">. </w:t>
      </w:r>
    </w:p>
    <w:p w14:paraId="7D001924" w14:textId="4C4E39A0" w:rsidR="00EA44FD" w:rsidRPr="00EA44FD" w:rsidRDefault="0040470B" w:rsidP="003577C9">
      <w:pPr>
        <w:spacing w:before="120"/>
        <w:rPr>
          <w:rFonts w:cs="Tahoma"/>
        </w:rPr>
      </w:pPr>
      <w:r>
        <w:rPr>
          <w:rFonts w:cs="Tahoma"/>
        </w:rPr>
        <w:t>Předmětem p</w:t>
      </w:r>
      <w:r w:rsidR="00EA44FD" w:rsidRPr="00EA44FD">
        <w:rPr>
          <w:rFonts w:cs="Tahoma"/>
        </w:rPr>
        <w:t>lnění je</w:t>
      </w:r>
      <w:r w:rsidR="00D22F56">
        <w:rPr>
          <w:rFonts w:cs="Tahoma"/>
        </w:rPr>
        <w:t xml:space="preserve"> dále</w:t>
      </w:r>
      <w:r w:rsidR="00EA44FD" w:rsidRPr="00EA44FD">
        <w:rPr>
          <w:rFonts w:cs="Tahoma"/>
        </w:rPr>
        <w:t xml:space="preserve"> nákup na denním trhu s elektřinou organizovaném operátorem trhu s elektřinou a</w:t>
      </w:r>
      <w:r w:rsidR="00F37CE6">
        <w:rPr>
          <w:rFonts w:cs="Tahoma"/>
        </w:rPr>
        <w:t> </w:t>
      </w:r>
      <w:r w:rsidR="00EA44FD" w:rsidRPr="00EA44FD">
        <w:rPr>
          <w:rFonts w:cs="Tahoma"/>
        </w:rPr>
        <w:t>dodávka v souladu s Nařízením vlády č. 298/2022 Sb., ze dne 5. října 2022, o stanovení cen elektřiny a plynu v</w:t>
      </w:r>
      <w:r w:rsidR="00F37CE6">
        <w:rPr>
          <w:rFonts w:cs="Tahoma"/>
        </w:rPr>
        <w:t> </w:t>
      </w:r>
      <w:r w:rsidR="00EA44FD" w:rsidRPr="00EA44FD">
        <w:rPr>
          <w:rFonts w:cs="Tahoma"/>
        </w:rPr>
        <w:t>mimořádné tržní situaci</w:t>
      </w:r>
      <w:r w:rsidR="00D22F56">
        <w:rPr>
          <w:rFonts w:cs="Tahoma"/>
        </w:rPr>
        <w:t xml:space="preserve"> (dále jen „</w:t>
      </w:r>
      <w:r w:rsidR="00D22F56" w:rsidRPr="004669CA">
        <w:rPr>
          <w:rFonts w:cs="Tahoma"/>
          <w:b/>
          <w:bCs/>
        </w:rPr>
        <w:t>nařízení vlády č. 298/2022 Sb.</w:t>
      </w:r>
      <w:r w:rsidR="004669CA">
        <w:rPr>
          <w:rFonts w:cs="Tahoma"/>
        </w:rPr>
        <w:t>“</w:t>
      </w:r>
      <w:r w:rsidR="00D22F56">
        <w:rPr>
          <w:rFonts w:cs="Tahoma"/>
        </w:rPr>
        <w:t>)</w:t>
      </w:r>
      <w:r w:rsidR="00EA44FD" w:rsidRPr="00EA44FD">
        <w:rPr>
          <w:rFonts w:cs="Tahoma"/>
        </w:rPr>
        <w:t xml:space="preserve">, sjednaného množství </w:t>
      </w:r>
      <w:r w:rsidR="004669CA">
        <w:rPr>
          <w:rFonts w:cs="Tahoma"/>
        </w:rPr>
        <w:t xml:space="preserve">elektrické energie </w:t>
      </w:r>
      <w:r w:rsidR="00EA44FD" w:rsidRPr="00EA44FD">
        <w:rPr>
          <w:rFonts w:cs="Tahoma"/>
        </w:rPr>
        <w:t xml:space="preserve">do odběrných míst </w:t>
      </w:r>
      <w:r w:rsidR="004669CA">
        <w:rPr>
          <w:rFonts w:cs="Tahoma"/>
        </w:rPr>
        <w:t>Z</w:t>
      </w:r>
      <w:r w:rsidR="00EA44FD" w:rsidRPr="00EA44FD">
        <w:rPr>
          <w:rFonts w:cs="Tahoma"/>
        </w:rPr>
        <w:t>adavatele v kvalitě podle příslušných platných</w:t>
      </w:r>
      <w:r w:rsidR="00C14AC8">
        <w:rPr>
          <w:rFonts w:cs="Tahoma"/>
        </w:rPr>
        <w:t xml:space="preserve"> </w:t>
      </w:r>
      <w:r w:rsidR="00EA44FD" w:rsidRPr="00EA44FD">
        <w:rPr>
          <w:rFonts w:cs="Tahoma"/>
        </w:rPr>
        <w:t>právních předpisů, pokud tomu nebrání okolnosti vyvolané provozovatelem distribuční soustavy nebo okolnosti stanovené právními předpisy.</w:t>
      </w:r>
    </w:p>
    <w:p w14:paraId="52AE2C26" w14:textId="2B44BA4D" w:rsidR="006D76AF" w:rsidRDefault="00EA44FD" w:rsidP="003577C9">
      <w:pPr>
        <w:spacing w:before="120"/>
        <w:rPr>
          <w:rFonts w:cs="Tahoma"/>
        </w:rPr>
      </w:pPr>
      <w:r w:rsidRPr="00EA44FD">
        <w:rPr>
          <w:rFonts w:cs="Tahoma"/>
        </w:rPr>
        <w:t xml:space="preserve">Za sjednané množství dodávky </w:t>
      </w:r>
      <w:r w:rsidR="00767F96">
        <w:rPr>
          <w:rFonts w:cs="Tahoma"/>
        </w:rPr>
        <w:t xml:space="preserve">elektrické energie </w:t>
      </w:r>
      <w:r w:rsidR="001A4FA3">
        <w:rPr>
          <w:rFonts w:cs="Tahoma"/>
        </w:rPr>
        <w:t xml:space="preserve">(silové elektřiny) </w:t>
      </w:r>
      <w:r w:rsidRPr="00EA44FD">
        <w:rPr>
          <w:rFonts w:cs="Tahoma"/>
        </w:rPr>
        <w:t xml:space="preserve">se považuje skutečně dodané a odebrané množství elektřiny v odběrném místě </w:t>
      </w:r>
      <w:r w:rsidR="001A4FA3">
        <w:rPr>
          <w:rFonts w:cs="Tahoma"/>
        </w:rPr>
        <w:t>odběratele</w:t>
      </w:r>
      <w:r w:rsidRPr="00EA44FD">
        <w:rPr>
          <w:rFonts w:cs="Tahoma"/>
        </w:rPr>
        <w:t>.</w:t>
      </w:r>
      <w:r w:rsidR="009809D6">
        <w:rPr>
          <w:rFonts w:cs="Tahoma"/>
        </w:rPr>
        <w:t xml:space="preserve"> Celkové množství dodávky silové elektřiny uvedené v </w:t>
      </w:r>
      <w:r w:rsidR="009809D6" w:rsidRPr="009809D6">
        <w:rPr>
          <w:rFonts w:cs="Tahoma"/>
          <w:color w:val="000000"/>
        </w:rPr>
        <w:t>přílo</w:t>
      </w:r>
      <w:r w:rsidR="009809D6">
        <w:rPr>
          <w:rFonts w:cs="Tahoma"/>
          <w:color w:val="000000"/>
        </w:rPr>
        <w:t>ze</w:t>
      </w:r>
      <w:r w:rsidR="009809D6" w:rsidRPr="009809D6">
        <w:rPr>
          <w:rFonts w:cs="Tahoma"/>
          <w:color w:val="000000"/>
        </w:rPr>
        <w:t xml:space="preserve"> č. </w:t>
      </w:r>
      <w:r w:rsidR="0063359C">
        <w:rPr>
          <w:rFonts w:cs="Tahoma"/>
          <w:color w:val="000000"/>
        </w:rPr>
        <w:t>2</w:t>
      </w:r>
      <w:r w:rsidR="009809D6" w:rsidRPr="009809D6">
        <w:rPr>
          <w:rFonts w:cs="Tahoma"/>
          <w:color w:val="000000"/>
        </w:rPr>
        <w:t xml:space="preserve"> – seznam odběrných míst v hladině VN a přílo</w:t>
      </w:r>
      <w:r w:rsidR="0046367A">
        <w:rPr>
          <w:rFonts w:cs="Tahoma"/>
          <w:color w:val="000000"/>
        </w:rPr>
        <w:t>ze</w:t>
      </w:r>
      <w:r w:rsidR="009809D6" w:rsidRPr="009809D6">
        <w:rPr>
          <w:rFonts w:cs="Tahoma"/>
          <w:color w:val="000000"/>
        </w:rPr>
        <w:t xml:space="preserve"> č. </w:t>
      </w:r>
      <w:r w:rsidR="0063359C">
        <w:rPr>
          <w:rFonts w:cs="Tahoma"/>
          <w:color w:val="000000"/>
        </w:rPr>
        <w:t xml:space="preserve">3 </w:t>
      </w:r>
      <w:r w:rsidR="009809D6" w:rsidRPr="009809D6">
        <w:rPr>
          <w:rFonts w:cs="Tahoma"/>
          <w:color w:val="000000"/>
        </w:rPr>
        <w:t>– seznam odběrných míst v</w:t>
      </w:r>
      <w:r w:rsidR="003F12BD">
        <w:rPr>
          <w:rFonts w:cs="Tahoma"/>
          <w:color w:val="000000"/>
        </w:rPr>
        <w:t> </w:t>
      </w:r>
      <w:r w:rsidR="009809D6" w:rsidRPr="009809D6">
        <w:rPr>
          <w:rFonts w:cs="Tahoma"/>
          <w:color w:val="000000"/>
        </w:rPr>
        <w:t xml:space="preserve">hladině </w:t>
      </w:r>
      <w:r w:rsidR="0046367A">
        <w:rPr>
          <w:rFonts w:cs="Tahoma"/>
          <w:color w:val="000000"/>
        </w:rPr>
        <w:t>NN představuje celkov</w:t>
      </w:r>
      <w:r w:rsidR="005108D2">
        <w:rPr>
          <w:rFonts w:cs="Tahoma"/>
          <w:color w:val="000000"/>
        </w:rPr>
        <w:t>ý odběr silové elektřiny za rok 2021 na příslušných odběrových místech</w:t>
      </w:r>
      <w:r w:rsidR="00576FEB">
        <w:rPr>
          <w:rFonts w:cs="Tahoma"/>
          <w:color w:val="000000"/>
        </w:rPr>
        <w:t xml:space="preserve">, který slouží jako orientační </w:t>
      </w:r>
      <w:r w:rsidR="00B84DC2">
        <w:rPr>
          <w:rFonts w:cs="Tahoma"/>
          <w:color w:val="000000"/>
        </w:rPr>
        <w:t>množství ročního odběru silové elektřiny</w:t>
      </w:r>
      <w:r w:rsidR="005108D2">
        <w:rPr>
          <w:rFonts w:cs="Tahoma"/>
          <w:color w:val="000000"/>
        </w:rPr>
        <w:t xml:space="preserve">. </w:t>
      </w:r>
    </w:p>
    <w:p w14:paraId="793BDDFB" w14:textId="61550663" w:rsidR="00763491" w:rsidRDefault="00EA44FD" w:rsidP="003577C9">
      <w:pPr>
        <w:spacing w:before="120"/>
        <w:rPr>
          <w:rFonts w:cs="Tahoma"/>
        </w:rPr>
      </w:pPr>
      <w:r w:rsidRPr="00EA44FD">
        <w:rPr>
          <w:rFonts w:cs="Tahoma"/>
        </w:rPr>
        <w:t xml:space="preserve">Dodávka silové elektřiny </w:t>
      </w:r>
      <w:r w:rsidR="00C43DCB" w:rsidRPr="00EA44FD">
        <w:rPr>
          <w:rFonts w:cs="Tahoma"/>
        </w:rPr>
        <w:t>v</w:t>
      </w:r>
      <w:r w:rsidR="003F12BD">
        <w:rPr>
          <w:rFonts w:cs="Tahoma"/>
        </w:rPr>
        <w:t> </w:t>
      </w:r>
      <w:r w:rsidR="00C43DCB" w:rsidRPr="00EA44FD">
        <w:rPr>
          <w:rFonts w:cs="Tahoma"/>
        </w:rPr>
        <w:t xml:space="preserve">napěťové hladině </w:t>
      </w:r>
      <w:r w:rsidR="00C43DCB">
        <w:rPr>
          <w:rFonts w:cs="Tahoma"/>
        </w:rPr>
        <w:t xml:space="preserve">VN </w:t>
      </w:r>
      <w:r w:rsidRPr="00EA44FD">
        <w:rPr>
          <w:rFonts w:cs="Tahoma"/>
        </w:rPr>
        <w:t>se uskutečňuje v</w:t>
      </w:r>
      <w:r w:rsidR="003F12BD">
        <w:rPr>
          <w:rFonts w:cs="Tahoma"/>
        </w:rPr>
        <w:t> </w:t>
      </w:r>
      <w:r w:rsidRPr="00EA44FD">
        <w:rPr>
          <w:rFonts w:cs="Tahoma"/>
        </w:rPr>
        <w:t>souladu s</w:t>
      </w:r>
      <w:r w:rsidR="003F12BD">
        <w:rPr>
          <w:rFonts w:cs="Tahoma"/>
        </w:rPr>
        <w:t> </w:t>
      </w:r>
      <w:r w:rsidRPr="00EA44FD">
        <w:rPr>
          <w:rFonts w:cs="Tahoma"/>
        </w:rPr>
        <w:t>hodnotou rezervované kapacity a</w:t>
      </w:r>
      <w:r w:rsidR="00F37CE6">
        <w:rPr>
          <w:rFonts w:cs="Tahoma"/>
        </w:rPr>
        <w:t> </w:t>
      </w:r>
      <w:r w:rsidRPr="00EA44FD">
        <w:rPr>
          <w:rFonts w:cs="Tahoma"/>
        </w:rPr>
        <w:t>rezervovaného příkonu.</w:t>
      </w:r>
    </w:p>
    <w:p w14:paraId="1A1CFB4D" w14:textId="18E63DBF" w:rsidR="00EF3F37" w:rsidRDefault="00EA44FD" w:rsidP="003577C9">
      <w:pPr>
        <w:spacing w:before="120"/>
        <w:rPr>
          <w:rFonts w:cs="Tahoma"/>
        </w:rPr>
      </w:pPr>
      <w:r w:rsidRPr="00EA44FD">
        <w:rPr>
          <w:rFonts w:cs="Tahoma"/>
        </w:rPr>
        <w:t>Dodávka silové elektřiny je splněna přechodem elektřiny z</w:t>
      </w:r>
      <w:r w:rsidR="003F12BD">
        <w:rPr>
          <w:rFonts w:cs="Tahoma"/>
        </w:rPr>
        <w:t> </w:t>
      </w:r>
      <w:r w:rsidRPr="00EA44FD">
        <w:rPr>
          <w:rFonts w:cs="Tahoma"/>
        </w:rPr>
        <w:t xml:space="preserve">příslušné distribuční soustavy přes měřící zařízení do odběrného místa odběratele. Měření dodávek, včetně vyhodnocování a předávání výsledků měření je zajišťováno provozovatelem distribuční soustavy podle příslušného platného právního předpisu. </w:t>
      </w:r>
    </w:p>
    <w:p w14:paraId="36FFFE4E" w14:textId="77777777" w:rsidR="00BB561D" w:rsidRPr="003705B8" w:rsidRDefault="00BB561D" w:rsidP="00DA7226">
      <w:pPr>
        <w:pStyle w:val="Nadpis2"/>
        <w:keepNext/>
        <w:ind w:left="851" w:hanging="851"/>
      </w:pPr>
      <w:r w:rsidRPr="003705B8">
        <w:lastRenderedPageBreak/>
        <w:t>Místo plnění Veřejné zakázky</w:t>
      </w:r>
    </w:p>
    <w:p w14:paraId="70D17F5C" w14:textId="7DB562EC" w:rsidR="00C46684" w:rsidRPr="003705B8" w:rsidRDefault="00FF55A0" w:rsidP="006A7B90">
      <w:pPr>
        <w:rPr>
          <w:rFonts w:cs="Tahoma"/>
          <w:color w:val="000000"/>
        </w:rPr>
      </w:pPr>
      <w:r w:rsidRPr="003705B8">
        <w:rPr>
          <w:rFonts w:cs="Tahoma"/>
          <w:color w:val="000000"/>
        </w:rPr>
        <w:t>Místem plnění jsou odběrná místa Zadavatele</w:t>
      </w:r>
      <w:r w:rsidR="00F34E9F" w:rsidRPr="003705B8">
        <w:rPr>
          <w:rFonts w:cs="Tahoma"/>
          <w:color w:val="000000"/>
        </w:rPr>
        <w:t xml:space="preserve"> dle přílohy č. </w:t>
      </w:r>
      <w:r w:rsidR="003F12BD">
        <w:rPr>
          <w:rFonts w:cs="Tahoma"/>
          <w:color w:val="000000"/>
        </w:rPr>
        <w:t xml:space="preserve">2 </w:t>
      </w:r>
      <w:r w:rsidR="00F34E9F" w:rsidRPr="003705B8">
        <w:rPr>
          <w:rFonts w:cs="Tahoma"/>
          <w:color w:val="000000"/>
        </w:rPr>
        <w:t xml:space="preserve">– seznam odběrných míst v hladině VN a </w:t>
      </w:r>
      <w:r w:rsidR="00B031EF" w:rsidRPr="003705B8">
        <w:rPr>
          <w:rFonts w:cs="Tahoma"/>
          <w:color w:val="000000"/>
        </w:rPr>
        <w:t>přílohy č.</w:t>
      </w:r>
      <w:r w:rsidR="00F37CE6">
        <w:rPr>
          <w:rFonts w:cs="Tahoma"/>
          <w:color w:val="000000"/>
        </w:rPr>
        <w:t> </w:t>
      </w:r>
      <w:r w:rsidR="003F12BD">
        <w:rPr>
          <w:rFonts w:cs="Tahoma"/>
          <w:color w:val="000000"/>
        </w:rPr>
        <w:t xml:space="preserve">3 </w:t>
      </w:r>
      <w:r w:rsidR="00B031EF" w:rsidRPr="003705B8">
        <w:rPr>
          <w:rFonts w:cs="Tahoma"/>
          <w:color w:val="000000"/>
        </w:rPr>
        <w:t xml:space="preserve">– seznam odběrných míst v hladině NN. </w:t>
      </w:r>
    </w:p>
    <w:p w14:paraId="052F8B5F" w14:textId="77777777" w:rsidR="00190229" w:rsidRPr="003705B8" w:rsidRDefault="00190229" w:rsidP="00DA7226">
      <w:pPr>
        <w:pStyle w:val="Nadpis2"/>
        <w:ind w:left="851" w:hanging="851"/>
      </w:pPr>
      <w:r w:rsidRPr="003705B8">
        <w:t>Klasifikace Veřejné zakázky dle CPV kódů</w:t>
      </w:r>
    </w:p>
    <w:p w14:paraId="05D9185A" w14:textId="25602CBD" w:rsidR="004B2739" w:rsidRPr="004B2739" w:rsidRDefault="006B7E1C" w:rsidP="006A7B90">
      <w:pPr>
        <w:rPr>
          <w:rFonts w:cs="Tahoma"/>
          <w:color w:val="000000"/>
        </w:rPr>
      </w:pPr>
      <w:r w:rsidRPr="003705B8">
        <w:rPr>
          <w:rFonts w:cs="Tahoma"/>
          <w:color w:val="000000"/>
        </w:rPr>
        <w:t>09310000-5</w:t>
      </w:r>
      <w:r w:rsidRPr="003705B8">
        <w:rPr>
          <w:rFonts w:cs="Tahoma"/>
          <w:color w:val="000000"/>
        </w:rPr>
        <w:tab/>
        <w:t>Elektrická energie</w:t>
      </w:r>
    </w:p>
    <w:p w14:paraId="0153DB1C" w14:textId="77777777" w:rsidR="00190229" w:rsidRPr="00062A7F" w:rsidRDefault="00190229" w:rsidP="00DA7226">
      <w:pPr>
        <w:pStyle w:val="Nadpis2"/>
        <w:ind w:left="851" w:hanging="851"/>
      </w:pPr>
      <w:r>
        <w:t>D</w:t>
      </w:r>
      <w:r w:rsidRPr="00062A7F">
        <w:t>oba trvání Veřejné zakázky</w:t>
      </w:r>
    </w:p>
    <w:p w14:paraId="5A4FB362" w14:textId="3BA81E7E" w:rsidR="00292B84" w:rsidRDefault="00E07AC0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>Smlouva s vybraným dodavatelem bude uzavřena na období</w:t>
      </w:r>
      <w:r w:rsidR="004D1E07">
        <w:rPr>
          <w:rFonts w:cstheme="minorHAnsi"/>
          <w:bCs/>
        </w:rPr>
        <w:t xml:space="preserve"> do 31. 12. 2023</w:t>
      </w:r>
      <w:r w:rsidR="00EA1BD1">
        <w:rPr>
          <w:rFonts w:cstheme="minorHAnsi"/>
          <w:bCs/>
        </w:rPr>
        <w:t>.</w:t>
      </w:r>
    </w:p>
    <w:p w14:paraId="1FC398EA" w14:textId="763286EC" w:rsidR="00190229" w:rsidRPr="00062A7F" w:rsidRDefault="006E30CF" w:rsidP="00DA7226">
      <w:pPr>
        <w:pStyle w:val="Nadpis2"/>
        <w:ind w:left="851" w:hanging="851"/>
      </w:pPr>
      <w:r>
        <w:t>Předpokládaná hodnota veřejné zakázky</w:t>
      </w:r>
    </w:p>
    <w:p w14:paraId="62057AC6" w14:textId="77AA69D2" w:rsidR="00723A88" w:rsidRPr="00723A88" w:rsidRDefault="00E02BB2" w:rsidP="00723A88">
      <w:pPr>
        <w:spacing w:before="120"/>
        <w:rPr>
          <w:rFonts w:cs="Tahoma"/>
        </w:rPr>
      </w:pPr>
      <w:r>
        <w:rPr>
          <w:rFonts w:cs="Tahoma"/>
        </w:rPr>
        <w:t>Předpokládaná hodnota není Zadavatelem uveřejněna.</w:t>
      </w:r>
      <w:r w:rsidR="00723A88" w:rsidRPr="00723A88">
        <w:rPr>
          <w:rFonts w:cs="Tahoma"/>
        </w:rPr>
        <w:t xml:space="preserve"> </w:t>
      </w:r>
    </w:p>
    <w:p w14:paraId="1C36A678" w14:textId="472D52F8" w:rsidR="00190229" w:rsidRPr="00BE4D3C" w:rsidRDefault="002D5149" w:rsidP="00DA7226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 w:rsidP="00DA7226">
      <w:pPr>
        <w:pStyle w:val="Nadpis2"/>
        <w:ind w:left="851" w:hanging="851"/>
      </w:pPr>
      <w:bookmarkStart w:id="3" w:name="_Toc462572455"/>
      <w:bookmarkStart w:id="4" w:name="_Hlk51232412"/>
      <w:r w:rsidRPr="00A7722B">
        <w:t>Obecná ustanovení k prokazování splnění kvalifikace</w:t>
      </w:r>
      <w:bookmarkEnd w:id="3"/>
    </w:p>
    <w:p w14:paraId="232D759C" w14:textId="77777777" w:rsidR="004A1422" w:rsidRPr="00192202" w:rsidRDefault="004A1422" w:rsidP="004A1422">
      <w:r w:rsidRPr="00192202">
        <w:t xml:space="preserve">Dodavatelé jsou povinni prokázat splnění kvalifikace způsobem a v rozsahu dle Zadávací dokumentace. 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Pr="00D91737">
        <w:rPr>
          <w:b/>
          <w:bCs/>
        </w:rPr>
        <w:t>Pro účely podání nabídky mohou dodavatelé doklady o kvalifikaci nahradit v souladu s § 86 odst. 2 ZZVZ čes</w:t>
      </w:r>
      <w:r w:rsidRPr="003D60FA">
        <w:rPr>
          <w:b/>
          <w:bCs/>
        </w:rPr>
        <w:t xml:space="preserve">tným prohlášením </w:t>
      </w:r>
      <w:r w:rsidRPr="00192202">
        <w:rPr>
          <w:b/>
          <w:bCs/>
        </w:rPr>
        <w:t>nebo jednotným evropským osvědčením pro veřejné zakázky podle § 87 ZZVZ.</w:t>
      </w:r>
    </w:p>
    <w:p w14:paraId="117071B2" w14:textId="24D68A8B" w:rsidR="00BB1788" w:rsidRDefault="004A1422" w:rsidP="004A1422">
      <w:pPr>
        <w:rPr>
          <w:rFonts w:cs="Arial"/>
        </w:rPr>
      </w:pPr>
      <w:r w:rsidRPr="00192202">
        <w:rPr>
          <w:b/>
          <w:bCs/>
        </w:rPr>
        <w:t xml:space="preserve">Zadavatel za účelem zjednodušení přípravy nabídek poskytuje dodavatelům vzor čestného prohlášení, kterým mohou dodavatelé prokázat splnění základní a profesní způsobilosti. Vzor čestného prohlášení </w:t>
      </w:r>
      <w:r w:rsidRPr="00D55579">
        <w:rPr>
          <w:b/>
          <w:bCs/>
        </w:rPr>
        <w:t xml:space="preserve">tvoří přílohu č. </w:t>
      </w:r>
      <w:r w:rsidR="00204380">
        <w:rPr>
          <w:b/>
          <w:bCs/>
        </w:rPr>
        <w:t>5</w:t>
      </w:r>
      <w:r w:rsidRPr="00D55579">
        <w:rPr>
          <w:b/>
          <w:bCs/>
        </w:rPr>
        <w:t xml:space="preserve"> Zadávací</w:t>
      </w:r>
      <w:r w:rsidRPr="00192202">
        <w:rPr>
          <w:b/>
          <w:bCs/>
        </w:rPr>
        <w:t xml:space="preserve"> dokumentace.</w:t>
      </w:r>
    </w:p>
    <w:p w14:paraId="56920CC7" w14:textId="391FEBB6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</w:t>
      </w:r>
      <w:r w:rsidR="000157F5">
        <w:rPr>
          <w:rFonts w:cs="Arial"/>
        </w:rPr>
        <w:t xml:space="preserve"> a </w:t>
      </w:r>
      <w:r w:rsidR="000157F5" w:rsidRPr="00BD6D16">
        <w:rPr>
          <w:lang w:eastAsia="cs-CZ"/>
        </w:rPr>
        <w:t>doklad</w:t>
      </w:r>
      <w:r w:rsidR="000157F5">
        <w:rPr>
          <w:lang w:eastAsia="cs-CZ"/>
        </w:rPr>
        <w:t>y</w:t>
      </w:r>
      <w:r w:rsidR="000157F5" w:rsidRPr="00BD6D16">
        <w:rPr>
          <w:lang w:eastAsia="cs-CZ"/>
        </w:rPr>
        <w:t xml:space="preserve"> o vzdělání v latinském jazyce</w:t>
      </w:r>
      <w:r w:rsidRPr="00DC7E8C">
        <w:rPr>
          <w:rFonts w:cs="Arial"/>
        </w:rPr>
        <w:t xml:space="preserve"> se předkládají bez</w:t>
      </w:r>
      <w:r w:rsidR="00C56979">
        <w:rPr>
          <w:rFonts w:cs="Arial"/>
        </w:rPr>
        <w:t> </w:t>
      </w:r>
      <w:r w:rsidRPr="00DC7E8C">
        <w:rPr>
          <w:rFonts w:cs="Arial"/>
        </w:rPr>
        <w:t>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68D32886" w14:textId="7728494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DBDCC49" w14:textId="77777777" w:rsidR="00CB292B" w:rsidRDefault="00CB292B" w:rsidP="00DA7226">
      <w:pPr>
        <w:pStyle w:val="Nadpis2"/>
        <w:ind w:left="851" w:hanging="851"/>
      </w:pPr>
      <w:r>
        <w:t>Prokazování kvalifikace prostřednictvím jiných osob</w:t>
      </w:r>
    </w:p>
    <w:p w14:paraId="3EE90B17" w14:textId="6BDEF445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DA7226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DA7226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DA7226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DA7226">
      <w:pPr>
        <w:pStyle w:val="psemnodrky"/>
      </w:pPr>
      <w:r>
        <w:t xml:space="preserve">písemný závazek jiné osoby k poskytnutí plnění určeného k plnění Veřejné zakázky nebo k poskytnutí věcí nebo práv, s nimiž bude dodavatel oprávněn disponovat v rámci plnění Veřejné zakázky, a to </w:t>
      </w:r>
      <w:r>
        <w:lastRenderedPageBreak/>
        <w:t>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 w:rsidP="00DA7226">
      <w:pPr>
        <w:pStyle w:val="Nadpis2"/>
        <w:ind w:left="851" w:hanging="851"/>
      </w:pPr>
      <w:r>
        <w:t>Prokazování kvalifikace v případě společné nabídky</w:t>
      </w:r>
    </w:p>
    <w:p w14:paraId="4CA6D777" w14:textId="27FFCD8A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</w:t>
      </w:r>
      <w:r w:rsidR="00204380">
        <w:t> </w:t>
      </w:r>
      <w:r>
        <w:t>ZZVZ každý dodavatel samostatně. Zbývající kvalifikaci prokazují dodavatelé společně.</w:t>
      </w:r>
    </w:p>
    <w:p w14:paraId="37A4DB74" w14:textId="77777777" w:rsidR="00BE4D3C" w:rsidRDefault="00BE4D3C" w:rsidP="00DA7226">
      <w:pPr>
        <w:pStyle w:val="Nadpis2"/>
        <w:ind w:left="851" w:hanging="851"/>
      </w:pPr>
      <w:r>
        <w:t>Prokazování kvalifikace prostřednictvím výpisu ze seznamu kvalifikovaných dodavatelů a certifikátu v rámci seznamu certifikovaných dodavatelů</w:t>
      </w:r>
    </w:p>
    <w:p w14:paraId="4A83C835" w14:textId="4C0D7471" w:rsidR="00BE4D3C" w:rsidRPr="002E7DA5" w:rsidRDefault="00BE4D3C" w:rsidP="000C4AE5">
      <w:pPr>
        <w:spacing w:before="120"/>
        <w:rPr>
          <w:rFonts w:cstheme="minorHAnsi"/>
        </w:rPr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683F7B">
        <w:t> </w:t>
      </w:r>
      <w:r>
        <w:t xml:space="preserve">226 </w:t>
      </w:r>
      <w:r w:rsidRPr="002E7DA5">
        <w:rPr>
          <w:rFonts w:cstheme="minorHAnsi"/>
        </w:rPr>
        <w:t>a násl. ZZVZ výpis ze seznamu kvalifikovaných dodavatelů ne starší než 3 měsíce.</w:t>
      </w:r>
    </w:p>
    <w:p w14:paraId="3CA475A4" w14:textId="227EE5F4" w:rsidR="00BE4D3C" w:rsidRPr="002E7DA5" w:rsidRDefault="00BE4D3C" w:rsidP="000C4AE5">
      <w:pPr>
        <w:spacing w:before="120"/>
        <w:rPr>
          <w:rFonts w:cstheme="minorHAnsi"/>
        </w:rPr>
      </w:pPr>
      <w:r w:rsidRPr="002E7DA5">
        <w:rPr>
          <w:rFonts w:cstheme="minorHAnsi"/>
        </w:rPr>
        <w:t>Dodavatel může k prokázání kvalifikačních předpokladů předložit také za podmínek stanovených v § 233 a</w:t>
      </w:r>
      <w:r w:rsidR="00204380">
        <w:rPr>
          <w:rFonts w:cstheme="minorHAnsi"/>
        </w:rPr>
        <w:t> </w:t>
      </w:r>
      <w:r w:rsidRPr="002E7DA5">
        <w:rPr>
          <w:rFonts w:cstheme="minorHAnsi"/>
        </w:rPr>
        <w:t>násl.</w:t>
      </w:r>
      <w:r w:rsidR="00683F7B">
        <w:rPr>
          <w:rFonts w:cstheme="minorHAnsi"/>
        </w:rPr>
        <w:t> </w:t>
      </w:r>
      <w:r w:rsidRPr="002E7DA5">
        <w:rPr>
          <w:rFonts w:cstheme="minorHAnsi"/>
        </w:rPr>
        <w:t>ZZVZ platný certifikát vydaný v rámci systému certifikovaných dodavatelů.</w:t>
      </w:r>
    </w:p>
    <w:p w14:paraId="0C41ECFF" w14:textId="77777777" w:rsidR="00BE4D3C" w:rsidRPr="002E7DA5" w:rsidRDefault="00BE4D3C" w:rsidP="00DA7226">
      <w:pPr>
        <w:pStyle w:val="Nadpis2"/>
        <w:ind w:left="851" w:hanging="851"/>
        <w:rPr>
          <w:rFonts w:cstheme="minorHAnsi"/>
        </w:rPr>
      </w:pPr>
      <w:r w:rsidRPr="002E7DA5">
        <w:rPr>
          <w:rFonts w:cstheme="minorHAnsi"/>
        </w:rPr>
        <w:t xml:space="preserve">Požadované </w:t>
      </w:r>
      <w:r w:rsidRPr="00034075">
        <w:t>kvalifikační</w:t>
      </w:r>
      <w:r w:rsidRPr="002E7DA5">
        <w:rPr>
          <w:rFonts w:cstheme="minorHAnsi"/>
        </w:rPr>
        <w:t xml:space="preserve"> předpoklady</w:t>
      </w:r>
    </w:p>
    <w:p w14:paraId="582DB300" w14:textId="77777777" w:rsidR="00BE4D3C" w:rsidRPr="002E7DA5" w:rsidRDefault="00BE4D3C" w:rsidP="000C4AE5">
      <w:pPr>
        <w:keepNext/>
        <w:spacing w:before="120" w:after="0"/>
        <w:rPr>
          <w:rFonts w:cstheme="minorHAnsi"/>
          <w:color w:val="000000"/>
        </w:rPr>
      </w:pPr>
      <w:r w:rsidRPr="002E7DA5">
        <w:rPr>
          <w:rFonts w:cstheme="minorHAnsi"/>
          <w:color w:val="000000"/>
        </w:rPr>
        <w:t>Zadavatel požaduje splnění následujících kvalifikačních předpokladů:</w:t>
      </w:r>
    </w:p>
    <w:p w14:paraId="4FF4E8D3" w14:textId="77777777" w:rsidR="00BE4D3C" w:rsidRPr="004B5692" w:rsidRDefault="00BE4D3C" w:rsidP="00DA7226">
      <w:pPr>
        <w:pStyle w:val="Podnadpis"/>
        <w:rPr>
          <w:rFonts w:cstheme="minorHAnsi"/>
          <w:color w:val="000000" w:themeColor="text1"/>
          <w:sz w:val="24"/>
          <w:szCs w:val="36"/>
        </w:rPr>
      </w:pPr>
      <w:bookmarkStart w:id="5" w:name="_Toc462572460"/>
      <w:r w:rsidRPr="004B5692">
        <w:rPr>
          <w:rFonts w:cstheme="minorHAnsi"/>
          <w:color w:val="000000" w:themeColor="text1"/>
          <w:sz w:val="24"/>
          <w:szCs w:val="36"/>
        </w:rPr>
        <w:t>Základní způsobilost</w:t>
      </w:r>
      <w:bookmarkEnd w:id="5"/>
    </w:p>
    <w:p w14:paraId="0194C2E5" w14:textId="77777777" w:rsidR="00BE4D3C" w:rsidRPr="002E7DA5" w:rsidRDefault="00BE4D3C" w:rsidP="000C4AE5">
      <w:pPr>
        <w:pStyle w:val="text-nov"/>
        <w:spacing w:after="120"/>
        <w:rPr>
          <w:rFonts w:asciiTheme="minorHAnsi" w:hAnsiTheme="minorHAnsi" w:cstheme="minorHAnsi"/>
          <w:b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b/>
          <w:color w:val="000000" w:themeColor="text1"/>
          <w:sz w:val="22"/>
        </w:rPr>
        <w:t>Požadavky:</w:t>
      </w:r>
    </w:p>
    <w:p w14:paraId="6D8AD9F4" w14:textId="484F124F" w:rsidR="00BE4D3C" w:rsidRPr="002E7DA5" w:rsidRDefault="00BE4D3C" w:rsidP="000C4AE5">
      <w:pPr>
        <w:pStyle w:val="text-nov"/>
        <w:spacing w:after="120"/>
        <w:rPr>
          <w:rFonts w:asciiTheme="minorHAnsi" w:hAnsiTheme="minorHAnsi" w:cstheme="minorHAnsi"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color w:val="000000" w:themeColor="text1"/>
          <w:sz w:val="22"/>
        </w:rPr>
        <w:t xml:space="preserve">Zadavatel požaduje, aby dodavatelé splňovali základní způsobilost dle § 74 ZZVZ. </w:t>
      </w:r>
    </w:p>
    <w:p w14:paraId="02D868EB" w14:textId="77777777" w:rsidR="00BE4D3C" w:rsidRPr="002E7DA5" w:rsidRDefault="00BE4D3C" w:rsidP="000C4AE5">
      <w:pPr>
        <w:pStyle w:val="text-nov"/>
        <w:spacing w:before="240" w:after="120"/>
        <w:rPr>
          <w:rFonts w:asciiTheme="minorHAnsi" w:hAnsiTheme="minorHAnsi" w:cstheme="minorHAnsi"/>
          <w:b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b/>
          <w:color w:val="000000" w:themeColor="text1"/>
          <w:sz w:val="22"/>
        </w:rPr>
        <w:t>Způsob prokázání:</w:t>
      </w:r>
    </w:p>
    <w:p w14:paraId="4B9A180E" w14:textId="77777777" w:rsidR="00BB104D" w:rsidRPr="00BB104D" w:rsidRDefault="00BB104D" w:rsidP="00BB104D">
      <w:pPr>
        <w:pStyle w:val="text-nov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Dodavatel prokazuje splnění základní způsobilosti doklady uvedenými v § 75 ZZVZ, a tedy:</w:t>
      </w:r>
    </w:p>
    <w:p w14:paraId="71999D23" w14:textId="77777777" w:rsidR="00BB104D" w:rsidRPr="00BB104D" w:rsidRDefault="00BB104D" w:rsidP="00DA7226">
      <w:pPr>
        <w:pStyle w:val="text-nov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evidence Rejstříku trestů ve vztahu k § 74 odst. 1 písm. a) ZZVZ;</w:t>
      </w:r>
    </w:p>
    <w:p w14:paraId="2D2E2F91" w14:textId="77777777" w:rsidR="00BB104D" w:rsidRPr="00BB104D" w:rsidRDefault="00BB104D" w:rsidP="00DA7226">
      <w:pPr>
        <w:pStyle w:val="text-nov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příslušného finančního úřadu ve vztahu k § 74 odst. 1 písm. b) ZZVZ;</w:t>
      </w:r>
    </w:p>
    <w:p w14:paraId="5FE39E39" w14:textId="77777777" w:rsidR="00BB104D" w:rsidRPr="00BB104D" w:rsidRDefault="00BB104D" w:rsidP="00DA7226">
      <w:pPr>
        <w:pStyle w:val="text-nov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ke spotřební dani ve vztahu k § 74 odst. 1 písm. b) ZZVZ;</w:t>
      </w:r>
    </w:p>
    <w:p w14:paraId="3A39D4A9" w14:textId="77777777" w:rsidR="00BB104D" w:rsidRPr="00BB104D" w:rsidRDefault="00BB104D" w:rsidP="00DA7226">
      <w:pPr>
        <w:pStyle w:val="text-nov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 § 74 odst. 1 písm. c) ZZVZ;</w:t>
      </w:r>
    </w:p>
    <w:p w14:paraId="57A03D12" w14:textId="77777777" w:rsidR="00BB104D" w:rsidRPr="00BB104D" w:rsidRDefault="00BB104D" w:rsidP="00DA7226">
      <w:pPr>
        <w:pStyle w:val="text-nov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 okresní správy sociálního zabezpečení ve vztahu k § 74 odst. 1 písm. d) ZZVZ;</w:t>
      </w:r>
    </w:p>
    <w:p w14:paraId="3953C809" w14:textId="77777777" w:rsidR="00BB104D" w:rsidRPr="00BB104D" w:rsidRDefault="00BB104D" w:rsidP="00DA7226">
      <w:pPr>
        <w:pStyle w:val="text-nov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obchodního rejstříku, nebo předložením písemného čestného prohlášení v případě, že dodavatel není v obchodním rejstříku zapsán, ve vztahu k § 74 odst. 1 písm. e) ZZVZ.</w:t>
      </w:r>
    </w:p>
    <w:p w14:paraId="433DBBD7" w14:textId="2978F22E" w:rsidR="00BE4D3C" w:rsidRPr="002E7DA5" w:rsidRDefault="00BB104D" w:rsidP="00BB104D">
      <w:pPr>
        <w:pStyle w:val="text-nov"/>
        <w:spacing w:after="120"/>
        <w:rPr>
          <w:rFonts w:asciiTheme="minorHAnsi" w:hAnsiTheme="minorHAnsi" w:cstheme="minorHAnsi"/>
          <w:color w:val="000000" w:themeColor="text1"/>
          <w:sz w:val="22"/>
        </w:rPr>
      </w:pPr>
      <w:r w:rsidRPr="002E7DA5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Pro účely podání nabídky je dodavatel oprávněn nahradit tyto doklady čestným prohlášením dle vzoru v příloze č. </w:t>
      </w:r>
      <w:r w:rsidR="001A7D1E">
        <w:rPr>
          <w:rFonts w:asciiTheme="minorHAnsi" w:hAnsiTheme="minorHAnsi" w:cstheme="minorHAnsi"/>
          <w:b/>
          <w:bCs/>
          <w:color w:val="000000" w:themeColor="text1"/>
          <w:sz w:val="22"/>
        </w:rPr>
        <w:t>5</w:t>
      </w:r>
      <w:r w:rsidRPr="002E7DA5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Zadávací dokumentace</w:t>
      </w:r>
      <w:r w:rsidR="00B362E6" w:rsidRPr="002E7DA5">
        <w:rPr>
          <w:rFonts w:asciiTheme="minorHAnsi" w:hAnsiTheme="minorHAnsi" w:cstheme="minorHAnsi"/>
          <w:color w:val="000000" w:themeColor="text1"/>
          <w:sz w:val="22"/>
        </w:rPr>
        <w:t xml:space="preserve">. </w:t>
      </w:r>
    </w:p>
    <w:p w14:paraId="5C5B9EED" w14:textId="77777777" w:rsidR="00BE4D3C" w:rsidRPr="004B5692" w:rsidRDefault="00BE4D3C" w:rsidP="00DA7226">
      <w:pPr>
        <w:pStyle w:val="Podnadpis"/>
        <w:rPr>
          <w:rFonts w:cstheme="minorHAnsi"/>
          <w:sz w:val="24"/>
          <w:szCs w:val="36"/>
        </w:rPr>
      </w:pPr>
      <w:bookmarkStart w:id="6" w:name="_Toc462572461"/>
      <w:r w:rsidRPr="004B5692">
        <w:rPr>
          <w:rFonts w:cstheme="minorHAnsi"/>
          <w:sz w:val="24"/>
          <w:szCs w:val="36"/>
        </w:rPr>
        <w:t>Profesní způsobilost</w:t>
      </w:r>
      <w:bookmarkEnd w:id="6"/>
    </w:p>
    <w:p w14:paraId="41ECCC07" w14:textId="77777777" w:rsidR="00BE4D3C" w:rsidRPr="00D86CAB" w:rsidRDefault="00BE4D3C" w:rsidP="000C4AE5">
      <w:pPr>
        <w:pStyle w:val="text-nov"/>
        <w:spacing w:after="120"/>
        <w:rPr>
          <w:rFonts w:asciiTheme="minorHAnsi" w:hAnsiTheme="minorHAnsi" w:cstheme="minorHAnsi"/>
          <w:b/>
          <w:sz w:val="22"/>
        </w:rPr>
      </w:pPr>
      <w:r w:rsidRPr="00D86CAB">
        <w:rPr>
          <w:rFonts w:asciiTheme="minorHAnsi" w:hAnsiTheme="minorHAnsi" w:cstheme="minorHAnsi"/>
          <w:b/>
          <w:sz w:val="22"/>
        </w:rPr>
        <w:t>Požadavky:</w:t>
      </w:r>
    </w:p>
    <w:p w14:paraId="339A0944" w14:textId="4662211E" w:rsidR="00D86CAB" w:rsidRPr="004B5692" w:rsidRDefault="00D86CAB" w:rsidP="004B5692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86CAB">
        <w:rPr>
          <w:rFonts w:asciiTheme="minorHAnsi" w:hAnsiTheme="minorHAnsi" w:cstheme="minorHAnsi"/>
          <w:sz w:val="22"/>
          <w:szCs w:val="22"/>
        </w:rPr>
        <w:t>Zadavatel požaduje, aby dodavatelé splňovali profesní způsobilost dle § 77 odst. 1 ZZVZ</w:t>
      </w:r>
      <w:r w:rsidR="00BB1117">
        <w:rPr>
          <w:rFonts w:asciiTheme="minorHAnsi" w:hAnsiTheme="minorHAnsi" w:cstheme="minorHAnsi"/>
          <w:sz w:val="22"/>
          <w:szCs w:val="22"/>
        </w:rPr>
        <w:t xml:space="preserve"> a dle § 77 odst. 2 písm. a) ZZVZ</w:t>
      </w:r>
      <w:r w:rsidRPr="00D86CAB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4B274081" w14:textId="002C03CA" w:rsidR="00BE4D3C" w:rsidRPr="00D86CAB" w:rsidRDefault="00BE4D3C" w:rsidP="00B903CE">
      <w:pPr>
        <w:pStyle w:val="text-nov"/>
        <w:keepNext/>
        <w:spacing w:after="120"/>
        <w:rPr>
          <w:rFonts w:asciiTheme="minorHAnsi" w:hAnsiTheme="minorHAnsi" w:cstheme="minorHAnsi"/>
          <w:b/>
          <w:sz w:val="22"/>
        </w:rPr>
      </w:pPr>
      <w:r w:rsidRPr="00D86CAB">
        <w:rPr>
          <w:rFonts w:asciiTheme="minorHAnsi" w:hAnsiTheme="minorHAnsi" w:cstheme="minorHAnsi"/>
          <w:b/>
          <w:sz w:val="22"/>
        </w:rPr>
        <w:lastRenderedPageBreak/>
        <w:t>Způsob prokázání:</w:t>
      </w:r>
    </w:p>
    <w:p w14:paraId="3BE26530" w14:textId="7F2E1820" w:rsidR="003479FB" w:rsidRDefault="00D86CAB" w:rsidP="003479FB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 w:rsidR="00B903CE"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>předložením výpisu z obchodního rejstříku, pokud je v něm dodavatel zapsán, či výpisem z jiné obdobné evidence, pokud je v ní dodavatel zapsán</w:t>
      </w:r>
      <w:r w:rsidR="003479FB" w:rsidRPr="00D86CAB">
        <w:rPr>
          <w:rFonts w:cstheme="minorHAnsi"/>
        </w:rPr>
        <w:t xml:space="preserve">. </w:t>
      </w:r>
    </w:p>
    <w:p w14:paraId="266072D2" w14:textId="0F5813AD" w:rsidR="00B903CE" w:rsidRPr="00D86CAB" w:rsidRDefault="00B903CE" w:rsidP="003479FB">
      <w:pPr>
        <w:rPr>
          <w:rFonts w:cstheme="minorHAnsi"/>
        </w:rPr>
      </w:pPr>
      <w:r>
        <w:rPr>
          <w:rFonts w:cstheme="minorHAnsi"/>
        </w:rPr>
        <w:t xml:space="preserve">Dodavatel prokazuje splnění profesní způsobilosti dle </w:t>
      </w:r>
      <w:r w:rsidR="00661F64">
        <w:rPr>
          <w:rFonts w:cstheme="minorHAnsi"/>
        </w:rPr>
        <w:t>§ 77 odst. 2 písm. a) ZZVZ předložením příslušného dokladu o oprávnění k</w:t>
      </w:r>
      <w:r w:rsidR="003072E5">
        <w:rPr>
          <w:rFonts w:cstheme="minorHAnsi"/>
        </w:rPr>
        <w:t> </w:t>
      </w:r>
      <w:r w:rsidR="00661F64">
        <w:rPr>
          <w:rFonts w:cstheme="minorHAnsi"/>
        </w:rPr>
        <w:t>podnikání</w:t>
      </w:r>
      <w:r w:rsidR="003072E5">
        <w:rPr>
          <w:rFonts w:cstheme="minorHAnsi"/>
        </w:rPr>
        <w:t xml:space="preserve">, a to platnou licencí na obchod s elektřinou dle </w:t>
      </w:r>
      <w:r w:rsidR="001316E3" w:rsidRPr="001316E3">
        <w:rPr>
          <w:rFonts w:cstheme="minorHAnsi"/>
        </w:rPr>
        <w:t>energetického zákona</w:t>
      </w:r>
      <w:r w:rsidR="001316E3">
        <w:rPr>
          <w:rFonts w:cstheme="minorHAnsi"/>
        </w:rPr>
        <w:t xml:space="preserve"> </w:t>
      </w:r>
      <w:r w:rsidR="001316E3" w:rsidRPr="001316E3">
        <w:rPr>
          <w:rFonts w:cstheme="minorHAnsi"/>
        </w:rPr>
        <w:t>a prováděcí vyhlášky ERÚ č. 8/2016 Sb., o podrobnostech udělování licencí</w:t>
      </w:r>
      <w:r w:rsidR="001316E3">
        <w:rPr>
          <w:rFonts w:cstheme="minorHAnsi"/>
        </w:rPr>
        <w:t xml:space="preserve"> </w:t>
      </w:r>
      <w:r w:rsidR="001316E3" w:rsidRPr="001316E3">
        <w:rPr>
          <w:rFonts w:cstheme="minorHAnsi"/>
        </w:rPr>
        <w:t>pro podnikání v energetických odvětvích, ve znění pozdějších předpisů</w:t>
      </w:r>
      <w:r w:rsidR="001316E3">
        <w:rPr>
          <w:rFonts w:cstheme="minorHAnsi"/>
        </w:rPr>
        <w:t>.</w:t>
      </w:r>
    </w:p>
    <w:p w14:paraId="26456980" w14:textId="410135FB" w:rsidR="00D86CAB" w:rsidRPr="00D86CAB" w:rsidRDefault="00D86CAB" w:rsidP="003479FB">
      <w:pPr>
        <w:rPr>
          <w:rFonts w:cstheme="minorHAnsi"/>
        </w:rPr>
      </w:pPr>
      <w:r w:rsidRPr="00D86CAB">
        <w:rPr>
          <w:rFonts w:cstheme="minorHAnsi"/>
          <w:b/>
          <w:bCs/>
        </w:rPr>
        <w:t xml:space="preserve">Pro účely podání nabídky je dodavatel oprávněn nahradit tyto doklady čestným prohlášením dle vzoru v příloze </w:t>
      </w:r>
      <w:r w:rsidR="00111C19">
        <w:rPr>
          <w:rFonts w:cstheme="minorHAnsi"/>
          <w:b/>
          <w:bCs/>
        </w:rPr>
        <w:t>5</w:t>
      </w:r>
      <w:r w:rsidR="00113A8C">
        <w:rPr>
          <w:rFonts w:cstheme="minorHAnsi"/>
          <w:b/>
          <w:bCs/>
        </w:rPr>
        <w:t xml:space="preserve"> </w:t>
      </w:r>
      <w:r w:rsidRPr="00D86CAB">
        <w:rPr>
          <w:rFonts w:cstheme="minorHAnsi"/>
          <w:b/>
          <w:bCs/>
        </w:rPr>
        <w:t>Zadávací dokumentace.</w:t>
      </w:r>
    </w:p>
    <w:bookmarkEnd w:id="4"/>
    <w:p w14:paraId="4D25041A" w14:textId="77777777" w:rsidR="0007122F" w:rsidRPr="00A26900" w:rsidRDefault="0007122F" w:rsidP="00DA7226">
      <w:pPr>
        <w:pStyle w:val="Nadpis1"/>
      </w:pPr>
      <w:r w:rsidRPr="00375526">
        <w:t>PLATEBNÍ A OBCHODNÍ</w:t>
      </w:r>
      <w:r w:rsidRPr="00A26900">
        <w:t xml:space="preserve"> PODMÍNKY</w:t>
      </w:r>
    </w:p>
    <w:p w14:paraId="24D39BBB" w14:textId="5115F5B9" w:rsidR="008C2A9C" w:rsidRPr="008C2A9C" w:rsidRDefault="008C2A9C" w:rsidP="008C2A9C">
      <w:pPr>
        <w:spacing w:before="120"/>
        <w:rPr>
          <w:rFonts w:cs="Calibri"/>
        </w:rPr>
      </w:pPr>
      <w:r w:rsidRPr="008C2A9C">
        <w:rPr>
          <w:rFonts w:cs="Calibri"/>
        </w:rPr>
        <w:t xml:space="preserve">Dodavatel je povinen předložit jako součástí nabídky závazný návrh </w:t>
      </w:r>
      <w:r w:rsidRPr="008C2A9C">
        <w:rPr>
          <w:rFonts w:cs="Calibri"/>
          <w:b/>
          <w:bCs/>
        </w:rPr>
        <w:t xml:space="preserve">smlouvy o službách dodávky elektřiny </w:t>
      </w:r>
      <w:r w:rsidRPr="008C2A9C">
        <w:rPr>
          <w:rFonts w:cs="Calibri"/>
        </w:rPr>
        <w:t>(dále jen „</w:t>
      </w:r>
      <w:r w:rsidR="00472D64">
        <w:rPr>
          <w:rFonts w:cs="Calibri"/>
          <w:b/>
          <w:bCs/>
        </w:rPr>
        <w:t>N</w:t>
      </w:r>
      <w:r w:rsidRPr="008C2A9C">
        <w:rPr>
          <w:rFonts w:cs="Calibri"/>
          <w:b/>
          <w:bCs/>
        </w:rPr>
        <w:t>ávrh smlouvy</w:t>
      </w:r>
      <w:r w:rsidRPr="008C2A9C">
        <w:rPr>
          <w:rFonts w:cs="Calibri"/>
        </w:rPr>
        <w:t xml:space="preserve">“) </w:t>
      </w:r>
      <w:r w:rsidRPr="003A74DB">
        <w:rPr>
          <w:rFonts w:cs="Calibri"/>
          <w:b/>
          <w:bCs/>
        </w:rPr>
        <w:t>sjednan</w:t>
      </w:r>
      <w:r w:rsidR="00510966" w:rsidRPr="003A74DB">
        <w:rPr>
          <w:rFonts w:cs="Calibri"/>
          <w:b/>
          <w:bCs/>
        </w:rPr>
        <w:t>é</w:t>
      </w:r>
      <w:r w:rsidR="00C07D8A" w:rsidRPr="003A74DB">
        <w:rPr>
          <w:rFonts w:cs="Calibri"/>
          <w:b/>
          <w:bCs/>
        </w:rPr>
        <w:t xml:space="preserve"> </w:t>
      </w:r>
      <w:r w:rsidR="00510966" w:rsidRPr="003A74DB">
        <w:rPr>
          <w:rFonts w:cs="Calibri"/>
          <w:b/>
          <w:bCs/>
        </w:rPr>
        <w:t>na dobu</w:t>
      </w:r>
      <w:r w:rsidR="003B3BB7" w:rsidRPr="003A74DB">
        <w:rPr>
          <w:rFonts w:cs="Calibri"/>
          <w:b/>
          <w:bCs/>
        </w:rPr>
        <w:t xml:space="preserve"> </w:t>
      </w:r>
      <w:r w:rsidR="00A533AD">
        <w:rPr>
          <w:rFonts w:cs="Calibri"/>
          <w:b/>
          <w:bCs/>
        </w:rPr>
        <w:t>od účinnosti smlouvy</w:t>
      </w:r>
      <w:r w:rsidR="00337741">
        <w:rPr>
          <w:rFonts w:cs="Calibri"/>
          <w:b/>
          <w:bCs/>
        </w:rPr>
        <w:t xml:space="preserve"> </w:t>
      </w:r>
      <w:r w:rsidR="00337741">
        <w:rPr>
          <w:rFonts w:cs="Tahoma"/>
        </w:rPr>
        <w:t>(ne však dříve než od 1. 1. 2023)</w:t>
      </w:r>
      <w:r w:rsidR="00A533AD">
        <w:rPr>
          <w:rFonts w:cs="Calibri"/>
          <w:b/>
          <w:bCs/>
        </w:rPr>
        <w:t xml:space="preserve"> </w:t>
      </w:r>
      <w:r w:rsidR="003B3BB7" w:rsidRPr="003A74DB">
        <w:rPr>
          <w:rFonts w:cs="Calibri"/>
          <w:b/>
          <w:bCs/>
        </w:rPr>
        <w:t>do 31. 12. 2023</w:t>
      </w:r>
      <w:r w:rsidRPr="008C2A9C">
        <w:rPr>
          <w:rFonts w:cs="Calibri"/>
          <w:b/>
          <w:bCs/>
        </w:rPr>
        <w:t xml:space="preserve"> </w:t>
      </w:r>
      <w:r w:rsidRPr="008C2A9C">
        <w:rPr>
          <w:rFonts w:cs="Calibri"/>
        </w:rPr>
        <w:t>v otevřeném (editovatelném) formátu *.doc</w:t>
      </w:r>
      <w:r w:rsidR="00C07D8A">
        <w:rPr>
          <w:rFonts w:cs="Calibri"/>
        </w:rPr>
        <w:t>x</w:t>
      </w:r>
      <w:r w:rsidRPr="008C2A9C">
        <w:rPr>
          <w:rFonts w:cs="Calibri"/>
        </w:rPr>
        <w:t xml:space="preserve">. </w:t>
      </w:r>
      <w:r w:rsidR="00883301">
        <w:rPr>
          <w:rFonts w:cs="Calibri"/>
        </w:rPr>
        <w:t xml:space="preserve">Automatické </w:t>
      </w:r>
      <w:r w:rsidR="00B155F1">
        <w:rPr>
          <w:rFonts w:cs="Calibri"/>
        </w:rPr>
        <w:t xml:space="preserve">prodloužení smlouvy se vylučuje. </w:t>
      </w:r>
    </w:p>
    <w:p w14:paraId="5F110BCA" w14:textId="2E8E1187" w:rsidR="00F52E79" w:rsidRDefault="008C2A9C" w:rsidP="008C2A9C">
      <w:pPr>
        <w:spacing w:before="120"/>
        <w:rPr>
          <w:rFonts w:cs="Calibri"/>
        </w:rPr>
      </w:pPr>
      <w:r w:rsidRPr="008C2A9C">
        <w:rPr>
          <w:rFonts w:cs="Calibri"/>
        </w:rPr>
        <w:t xml:space="preserve">Návrh smlouvy musí být zpracován v souladu se </w:t>
      </w:r>
      <w:r w:rsidR="00472D64">
        <w:rPr>
          <w:rFonts w:cs="Calibri"/>
        </w:rPr>
        <w:t>Zadávací dokumentací</w:t>
      </w:r>
      <w:r w:rsidRPr="008C2A9C">
        <w:rPr>
          <w:rFonts w:cs="Calibri"/>
        </w:rPr>
        <w:t xml:space="preserve"> a jejími přílohami, tzn. dodavatel je povinen v </w:t>
      </w:r>
      <w:r w:rsidR="00472D64">
        <w:rPr>
          <w:rFonts w:cs="Calibri"/>
        </w:rPr>
        <w:t>N</w:t>
      </w:r>
      <w:r w:rsidRPr="008C2A9C">
        <w:rPr>
          <w:rFonts w:cs="Calibri"/>
        </w:rPr>
        <w:t>ávrhu smlouvy</w:t>
      </w:r>
      <w:r>
        <w:rPr>
          <w:rFonts w:cs="Calibri"/>
        </w:rPr>
        <w:t xml:space="preserve"> </w:t>
      </w:r>
      <w:r w:rsidRPr="008C2A9C">
        <w:rPr>
          <w:rFonts w:cs="Calibri"/>
        </w:rPr>
        <w:t xml:space="preserve">zcela respektovat požadavky </w:t>
      </w:r>
      <w:r w:rsidR="00472D64">
        <w:rPr>
          <w:rFonts w:cs="Calibri"/>
        </w:rPr>
        <w:t>Z</w:t>
      </w:r>
      <w:r w:rsidRPr="008C2A9C">
        <w:rPr>
          <w:rFonts w:cs="Calibri"/>
        </w:rPr>
        <w:t xml:space="preserve">adavatele uvedené v této </w:t>
      </w:r>
      <w:r w:rsidR="00472D64">
        <w:rPr>
          <w:rFonts w:cs="Calibri"/>
        </w:rPr>
        <w:t>Zadávací dokumentaci</w:t>
      </w:r>
      <w:r w:rsidRPr="008C2A9C">
        <w:rPr>
          <w:rFonts w:cs="Calibri"/>
        </w:rPr>
        <w:t xml:space="preserve"> a jejích přílohách.</w:t>
      </w:r>
      <w:r w:rsidR="00582D26">
        <w:rPr>
          <w:rFonts w:cs="Calibri"/>
        </w:rPr>
        <w:t xml:space="preserve"> </w:t>
      </w:r>
    </w:p>
    <w:p w14:paraId="6072BFB4" w14:textId="2308E166" w:rsidR="00BF6D36" w:rsidRDefault="00BF6D36" w:rsidP="008C2A9C">
      <w:pPr>
        <w:spacing w:before="120"/>
        <w:rPr>
          <w:rFonts w:cs="Calibri"/>
        </w:rPr>
      </w:pPr>
      <w:r w:rsidRPr="00BF6D36">
        <w:rPr>
          <w:rFonts w:cs="Calibri"/>
        </w:rPr>
        <w:t xml:space="preserve">Dodavatel je povinen do </w:t>
      </w:r>
      <w:r>
        <w:rPr>
          <w:rFonts w:cs="Calibri"/>
        </w:rPr>
        <w:t>N</w:t>
      </w:r>
      <w:r w:rsidRPr="00BF6D36">
        <w:rPr>
          <w:rFonts w:cs="Calibri"/>
        </w:rPr>
        <w:t xml:space="preserve">ávrhu smlouvy </w:t>
      </w:r>
      <w:r w:rsidR="00A40AA9">
        <w:rPr>
          <w:rFonts w:cs="Calibri"/>
        </w:rPr>
        <w:t xml:space="preserve">dále </w:t>
      </w:r>
      <w:r w:rsidRPr="00BF6D36">
        <w:rPr>
          <w:rFonts w:cs="Calibri"/>
        </w:rPr>
        <w:t xml:space="preserve">zapracovat následující požadavky </w:t>
      </w:r>
      <w:r>
        <w:rPr>
          <w:rFonts w:cs="Calibri"/>
        </w:rPr>
        <w:t>Z</w:t>
      </w:r>
      <w:r w:rsidRPr="00BF6D36">
        <w:rPr>
          <w:rFonts w:cs="Calibri"/>
        </w:rPr>
        <w:t>adavatele:</w:t>
      </w:r>
    </w:p>
    <w:p w14:paraId="275CCD6C" w14:textId="03389A5D" w:rsidR="009B5434" w:rsidRPr="009B5434" w:rsidRDefault="009B5434" w:rsidP="00DA7226">
      <w:pPr>
        <w:pStyle w:val="Odstavecseseznamem"/>
        <w:numPr>
          <w:ilvl w:val="0"/>
          <w:numId w:val="14"/>
        </w:numPr>
        <w:spacing w:before="120"/>
        <w:rPr>
          <w:rFonts w:cs="Calibri"/>
        </w:rPr>
      </w:pPr>
      <w:r>
        <w:rPr>
          <w:rFonts w:cs="Calibri"/>
        </w:rPr>
        <w:t>p</w:t>
      </w:r>
      <w:r w:rsidRPr="009B5434">
        <w:rPr>
          <w:rFonts w:cs="Calibri"/>
        </w:rPr>
        <w:t>řípadné významné změny odběrů nebo odběrové křivky budou s dodavatelem konzultovány s</w:t>
      </w:r>
      <w:r w:rsidR="004305F6">
        <w:rPr>
          <w:rFonts w:cs="Calibri"/>
        </w:rPr>
        <w:t> </w:t>
      </w:r>
      <w:r w:rsidRPr="009B5434">
        <w:rPr>
          <w:rFonts w:cs="Calibri"/>
        </w:rPr>
        <w:t>předstihem, pokud to bude možné</w:t>
      </w:r>
      <w:r>
        <w:rPr>
          <w:rFonts w:cs="Calibri"/>
        </w:rPr>
        <w:t>;</w:t>
      </w:r>
      <w:r w:rsidRPr="009B5434">
        <w:rPr>
          <w:rFonts w:cs="Calibri"/>
        </w:rPr>
        <w:t xml:space="preserve"> </w:t>
      </w:r>
    </w:p>
    <w:p w14:paraId="2E41641A" w14:textId="742704D7" w:rsidR="009B5434" w:rsidRPr="009B5434" w:rsidRDefault="009B5434" w:rsidP="00DA7226">
      <w:pPr>
        <w:pStyle w:val="Odstavecseseznamem"/>
        <w:numPr>
          <w:ilvl w:val="0"/>
          <w:numId w:val="14"/>
        </w:numPr>
        <w:spacing w:before="120"/>
        <w:rPr>
          <w:rFonts w:cs="Calibri"/>
        </w:rPr>
      </w:pPr>
      <w:r w:rsidRPr="009B5434">
        <w:rPr>
          <w:rFonts w:cs="Calibri"/>
        </w:rPr>
        <w:t xml:space="preserve">Zadavatel požaduje v </w:t>
      </w:r>
      <w:r w:rsidR="00EA3622">
        <w:rPr>
          <w:rFonts w:cs="Calibri"/>
        </w:rPr>
        <w:t>N</w:t>
      </w:r>
      <w:r w:rsidRPr="009B5434">
        <w:rPr>
          <w:rFonts w:cs="Calibri"/>
        </w:rPr>
        <w:t xml:space="preserve">ávrhu smlouvy uvést ustanovení o možnosti zafixování ceny za 1 MWh </w:t>
      </w:r>
      <w:r w:rsidR="00634A09">
        <w:rPr>
          <w:rFonts w:cs="Calibri"/>
        </w:rPr>
        <w:t xml:space="preserve">elektrické </w:t>
      </w:r>
      <w:r w:rsidR="00634A09" w:rsidRPr="00040938">
        <w:rPr>
          <w:rFonts w:cs="Calibri"/>
        </w:rPr>
        <w:t xml:space="preserve">energie v hladině </w:t>
      </w:r>
      <w:r w:rsidR="009866FA" w:rsidRPr="00040938">
        <w:rPr>
          <w:rFonts w:cs="Calibri"/>
        </w:rPr>
        <w:t xml:space="preserve">VN i NN </w:t>
      </w:r>
      <w:r w:rsidR="003A74DB">
        <w:rPr>
          <w:rFonts w:cs="Calibri"/>
        </w:rPr>
        <w:t xml:space="preserve">do konce roku 2023 </w:t>
      </w:r>
      <w:r w:rsidRPr="009B5434">
        <w:rPr>
          <w:rFonts w:cs="Calibri"/>
        </w:rPr>
        <w:t xml:space="preserve">pokud to situace na trhu umožní: </w:t>
      </w:r>
      <w:r w:rsidRPr="009B5434">
        <w:rPr>
          <w:rFonts w:cs="Calibri"/>
          <w:i/>
          <w:iCs/>
        </w:rPr>
        <w:t>„Obchodník a Zákazník sjednávají možnost přechodu na jiný nákupní model v průběhu platnosti Smlouvy na základě předložené cenové nabídky Obchodníkem, která bude zohledňovat aktuální situaci na trhu v okamžiku předložení nového ocenění. V případě, že se obě smluvní strany dohodnou na novém způsobu ocenění, bude změna ocenění komodity upravena formou dodatku ke smlouvě“</w:t>
      </w:r>
      <w:r w:rsidR="00A254AC" w:rsidRPr="00040938">
        <w:rPr>
          <w:rFonts w:cs="Calibri"/>
        </w:rPr>
        <w:t>;</w:t>
      </w:r>
      <w:r w:rsidRPr="009B5434">
        <w:rPr>
          <w:rFonts w:cs="Calibri"/>
        </w:rPr>
        <w:t xml:space="preserve"> </w:t>
      </w:r>
    </w:p>
    <w:p w14:paraId="3332C3F8" w14:textId="2D4695CF" w:rsidR="00D3716F" w:rsidRPr="00EB0C4F" w:rsidRDefault="00A254AC" w:rsidP="00140C58">
      <w:pPr>
        <w:pStyle w:val="Odstavecseseznamem"/>
        <w:numPr>
          <w:ilvl w:val="0"/>
          <w:numId w:val="14"/>
        </w:numPr>
        <w:spacing w:before="120"/>
        <w:rPr>
          <w:rFonts w:cs="Calibri"/>
        </w:rPr>
      </w:pPr>
      <w:r w:rsidRPr="00D3716F">
        <w:rPr>
          <w:rFonts w:cs="Calibri"/>
        </w:rPr>
        <w:t>s</w:t>
      </w:r>
      <w:r w:rsidR="009B5434" w:rsidRPr="00D3716F">
        <w:rPr>
          <w:rFonts w:cs="Calibri"/>
        </w:rPr>
        <w:t xml:space="preserve">platnost </w:t>
      </w:r>
      <w:r w:rsidR="009B5434" w:rsidRPr="00EB0C4F">
        <w:rPr>
          <w:rFonts w:cs="Calibri"/>
        </w:rPr>
        <w:t>faktur 21 dní</w:t>
      </w:r>
      <w:r w:rsidRPr="00EB0C4F">
        <w:rPr>
          <w:rFonts w:cs="Calibri"/>
        </w:rPr>
        <w:t>;</w:t>
      </w:r>
      <w:r w:rsidR="009B5434" w:rsidRPr="00EB0C4F">
        <w:rPr>
          <w:rFonts w:cs="Calibri"/>
        </w:rPr>
        <w:t xml:space="preserve"> </w:t>
      </w:r>
    </w:p>
    <w:p w14:paraId="5430440F" w14:textId="464A808F" w:rsidR="000F47ED" w:rsidRPr="00040938" w:rsidRDefault="000608A8" w:rsidP="00DA7226">
      <w:pPr>
        <w:pStyle w:val="Odstavecseseznamem"/>
        <w:numPr>
          <w:ilvl w:val="0"/>
          <w:numId w:val="14"/>
        </w:numPr>
        <w:spacing w:before="120"/>
        <w:rPr>
          <w:rFonts w:cs="Calibri"/>
        </w:rPr>
      </w:pPr>
      <w:r w:rsidRPr="00040938">
        <w:rPr>
          <w:rFonts w:cs="Calibri"/>
        </w:rPr>
        <w:t>c</w:t>
      </w:r>
      <w:r w:rsidR="000F47ED" w:rsidRPr="00040938">
        <w:rPr>
          <w:rFonts w:cs="Calibri"/>
        </w:rPr>
        <w:t xml:space="preserve">elková cena za dodávku 1 MWh </w:t>
      </w:r>
      <w:r w:rsidR="00635D0A">
        <w:rPr>
          <w:rFonts w:cs="Calibri"/>
        </w:rPr>
        <w:t xml:space="preserve">silové </w:t>
      </w:r>
      <w:r w:rsidR="00C14791" w:rsidRPr="00040938">
        <w:rPr>
          <w:rFonts w:cs="Calibri"/>
        </w:rPr>
        <w:t xml:space="preserve">elektřiny </w:t>
      </w:r>
      <w:r w:rsidRPr="00040938">
        <w:rPr>
          <w:rFonts w:cs="Calibri"/>
        </w:rPr>
        <w:t xml:space="preserve">v hladině VN nebo NN </w:t>
      </w:r>
      <w:r w:rsidR="000F47ED" w:rsidRPr="00040938">
        <w:rPr>
          <w:rFonts w:cs="Calibri"/>
        </w:rPr>
        <w:t xml:space="preserve">je cenou za silovou elektřinu </w:t>
      </w:r>
      <w:r w:rsidR="005C3AE8" w:rsidRPr="00040938">
        <w:rPr>
          <w:rFonts w:cs="Calibri"/>
        </w:rPr>
        <w:t xml:space="preserve">v hladině VN nebo NN </w:t>
      </w:r>
      <w:r w:rsidR="000F47ED" w:rsidRPr="00040938">
        <w:rPr>
          <w:rFonts w:cs="Calibri"/>
        </w:rPr>
        <w:t>určenou na základě přičítacího koeficientu</w:t>
      </w:r>
      <w:r w:rsidR="00B65A2D">
        <w:rPr>
          <w:rFonts w:cs="Calibri"/>
        </w:rPr>
        <w:t xml:space="preserve"> (ten je shodný pro obě hladiny</w:t>
      </w:r>
      <w:r w:rsidR="00B110E8">
        <w:rPr>
          <w:rFonts w:cs="Calibri"/>
        </w:rPr>
        <w:t xml:space="preserve"> napětí</w:t>
      </w:r>
      <w:r w:rsidR="00B65A2D">
        <w:rPr>
          <w:rFonts w:cs="Calibri"/>
        </w:rPr>
        <w:t>)</w:t>
      </w:r>
      <w:r w:rsidR="000F47ED" w:rsidRPr="00040938">
        <w:rPr>
          <w:rFonts w:cs="Calibri"/>
        </w:rPr>
        <w:t>, hodinových cen elektřiny na krátkodobém trhu s elektřinou, organizovaném společností OTE, a.s. a hodinových spotřeb elektřiny, dále potom cenou za distribuci elektřiny, systémové služby a ostatní související služby, která bude stanovena v souladu s všeobecně závaznými právními předpisy, zejména cenovými rozhodnutími příslušných správních a regulačních orgánů</w:t>
      </w:r>
      <w:r w:rsidR="001F7E8E" w:rsidRPr="00040938">
        <w:rPr>
          <w:rFonts w:cs="Calibri"/>
        </w:rPr>
        <w:t>;</w:t>
      </w:r>
    </w:p>
    <w:p w14:paraId="5AAFDA06" w14:textId="5F6062C8" w:rsidR="000F47ED" w:rsidRPr="00040938" w:rsidRDefault="001F7E8E" w:rsidP="00DA7226">
      <w:pPr>
        <w:pStyle w:val="Odstavecseseznamem"/>
        <w:numPr>
          <w:ilvl w:val="0"/>
          <w:numId w:val="14"/>
        </w:numPr>
        <w:spacing w:before="120"/>
        <w:rPr>
          <w:rFonts w:cs="Calibri"/>
        </w:rPr>
      </w:pPr>
      <w:r w:rsidRPr="00040938">
        <w:rPr>
          <w:rFonts w:cs="Calibri"/>
        </w:rPr>
        <w:t>d</w:t>
      </w:r>
      <w:r w:rsidR="000F47ED" w:rsidRPr="00040938">
        <w:rPr>
          <w:rFonts w:cs="Calibri"/>
        </w:rPr>
        <w:t xml:space="preserve">odavatel je povinen určit jednotkovou cenu za dodávku </w:t>
      </w:r>
      <w:r w:rsidRPr="00040938">
        <w:rPr>
          <w:rFonts w:cs="Calibri"/>
        </w:rPr>
        <w:t>elektrické energie v hladině VN a NN</w:t>
      </w:r>
      <w:r w:rsidR="000F47ED" w:rsidRPr="00040938">
        <w:rPr>
          <w:rFonts w:cs="Calibri"/>
        </w:rPr>
        <w:t xml:space="preserve"> do</w:t>
      </w:r>
      <w:r w:rsidR="008A39D5">
        <w:rPr>
          <w:rFonts w:cs="Calibri"/>
        </w:rPr>
        <w:t> </w:t>
      </w:r>
      <w:r w:rsidR="000F47ED" w:rsidRPr="00040938">
        <w:rPr>
          <w:rFonts w:cs="Calibri"/>
        </w:rPr>
        <w:t>odběrného místa ve zúčtovacím období tak, že cena 1 MWh elektřiny bude rovna součtu hodnoty přičítacího koeficientu</w:t>
      </w:r>
      <w:r w:rsidR="00F05E4A">
        <w:rPr>
          <w:rFonts w:cs="Calibri"/>
        </w:rPr>
        <w:t xml:space="preserve"> (shodný pro obě hladiny napětí)</w:t>
      </w:r>
      <w:r w:rsidR="000F47ED" w:rsidRPr="00040938">
        <w:rPr>
          <w:rFonts w:cs="Calibri"/>
        </w:rPr>
        <w:t xml:space="preserve"> a váženého aritmetického průměru součinů hodinových cen elektřiny </w:t>
      </w:r>
      <w:r w:rsidR="00F05E4A">
        <w:rPr>
          <w:rFonts w:cs="Calibri"/>
        </w:rPr>
        <w:t xml:space="preserve">v hladině VN nebo NN </w:t>
      </w:r>
      <w:r w:rsidR="000F47ED" w:rsidRPr="00040938">
        <w:rPr>
          <w:rFonts w:cs="Calibri"/>
        </w:rPr>
        <w:t>na krátkodobém trhu s elektřinou organizovaném společností OTE, a.s. přepočtených kurzem CZK/EUR a hodinových spotřeb elektřiny v odběrném místě.</w:t>
      </w:r>
    </w:p>
    <w:p w14:paraId="21734087" w14:textId="535C36D9" w:rsidR="009B5434" w:rsidRPr="00503AFC" w:rsidRDefault="00C20EEC" w:rsidP="00DA7226">
      <w:pPr>
        <w:pStyle w:val="Odstavecseseznamem"/>
        <w:numPr>
          <w:ilvl w:val="0"/>
          <w:numId w:val="14"/>
        </w:numPr>
        <w:spacing w:before="120"/>
        <w:rPr>
          <w:rFonts w:cstheme="minorHAnsi"/>
        </w:rPr>
      </w:pPr>
      <w:r w:rsidRPr="00040938">
        <w:rPr>
          <w:rFonts w:cs="Calibri"/>
        </w:rPr>
        <w:lastRenderedPageBreak/>
        <w:t>c</w:t>
      </w:r>
      <w:r w:rsidR="000F47ED" w:rsidRPr="00040938">
        <w:rPr>
          <w:rFonts w:cs="Calibri"/>
        </w:rPr>
        <w:t xml:space="preserve">ena </w:t>
      </w:r>
      <w:r w:rsidR="00A90125">
        <w:rPr>
          <w:rFonts w:cs="Calibri"/>
        </w:rPr>
        <w:t xml:space="preserve">silové </w:t>
      </w:r>
      <w:r w:rsidR="000F47ED" w:rsidRPr="00040938">
        <w:rPr>
          <w:rFonts w:cs="Calibri"/>
        </w:rPr>
        <w:t>elektřiny dodané v příslušném měsíci je uvedena v Kč/MWh a vypočítá se jako vážený průměr (P) všech odběrů v</w:t>
      </w:r>
      <w:r w:rsidR="00A90125">
        <w:rPr>
          <w:rFonts w:cs="Calibri"/>
        </w:rPr>
        <w:t> </w:t>
      </w:r>
      <w:r w:rsidR="000F47ED" w:rsidRPr="00040938">
        <w:rPr>
          <w:rFonts w:cs="Calibri"/>
        </w:rPr>
        <w:t>jednotlivých</w:t>
      </w:r>
      <w:r w:rsidR="00A90125">
        <w:rPr>
          <w:rFonts w:cs="Calibri"/>
        </w:rPr>
        <w:t xml:space="preserve"> napěťových hladinách a</w:t>
      </w:r>
      <w:r w:rsidR="000F47ED" w:rsidRPr="00040938">
        <w:rPr>
          <w:rFonts w:cs="Calibri"/>
        </w:rPr>
        <w:t xml:space="preserve"> hodinách za příslušné hodinové ceny dle následujícího </w:t>
      </w:r>
      <w:r w:rsidR="000F47ED" w:rsidRPr="00503AFC">
        <w:rPr>
          <w:rFonts w:cstheme="minorHAnsi"/>
        </w:rPr>
        <w:t>vzorce:</w:t>
      </w:r>
      <w:r w:rsidR="009B5434" w:rsidRPr="009B5434">
        <w:rPr>
          <w:rFonts w:cstheme="minorHAnsi"/>
        </w:rPr>
        <w:t xml:space="preserve"> </w:t>
      </w:r>
    </w:p>
    <w:p w14:paraId="6D2E002B" w14:textId="77777777" w:rsidR="00437703" w:rsidRPr="00503AFC" w:rsidRDefault="00437703" w:rsidP="00437703">
      <w:pPr>
        <w:pStyle w:val="Odstavecseseznamem"/>
        <w:spacing w:before="120"/>
        <w:rPr>
          <w:rFonts w:cstheme="minorHAnsi"/>
        </w:rPr>
      </w:pPr>
    </w:p>
    <w:p w14:paraId="007CEFED" w14:textId="3128B55E" w:rsidR="004F7B67" w:rsidRPr="008A39D5" w:rsidRDefault="008A39D5" w:rsidP="006735D3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000000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color w:val="000000"/>
            </w:rPr>
            <m:t>P</m:t>
          </m:r>
          <m:r>
            <m:rPr>
              <m:sty m:val="p"/>
            </m:rPr>
            <w:rPr>
              <w:rFonts w:ascii="Cambria Math" w:eastAsia="Cambria Math" w:hAnsi="Cambria Math" w:cstheme="minorHAnsi"/>
              <w:color w:val="000000"/>
            </w:rPr>
            <m:t>=</m:t>
          </m:r>
          <m:f>
            <m:fPr>
              <m:ctrlPr>
                <w:rPr>
                  <w:rFonts w:ascii="Cambria Math" w:hAnsi="Cambria Math" w:cstheme="minorHAnsi"/>
                  <w:iCs/>
                  <w:color w:val="00000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</w:rPr>
                <m:t>(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 w:cstheme="minorHAnsi"/>
                      <w:iCs/>
                      <w:color w:val="00000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>a=1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theme="minorHAnsi"/>
                          <w:iCs/>
                          <w:color w:val="00000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Cs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00000"/>
                            </w:rPr>
                            <m:t>CENA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00000"/>
                            </w:rPr>
                            <m:t>a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+K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>*(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Cs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Cs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Kurz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</w:rPr>
                        <m:t>a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00000"/>
                    </w:rPr>
                    <m:t>))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</w:rPr>
                <m:t>C</m:t>
              </m:r>
            </m:den>
          </m:f>
        </m:oMath>
      </m:oMathPara>
    </w:p>
    <w:p w14:paraId="1013AF2B" w14:textId="41713F38" w:rsidR="004F7B67" w:rsidRPr="00503AFC" w:rsidRDefault="00437703" w:rsidP="006735D3">
      <w:pPr>
        <w:pStyle w:val="Odstavecseseznamem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 xml:space="preserve">Kde: </w:t>
      </w:r>
    </w:p>
    <w:p w14:paraId="2457F66C" w14:textId="2929C0CC" w:rsidR="00190304" w:rsidRPr="00503AFC" w:rsidRDefault="00190304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>P = vážený průměr (P) všech odběrů</w:t>
      </w:r>
      <w:r w:rsidR="00503AFC" w:rsidRPr="00503AFC">
        <w:rPr>
          <w:rFonts w:cstheme="minorHAnsi"/>
          <w:color w:val="000000"/>
        </w:rPr>
        <w:t xml:space="preserve"> elektrické energie v hladině VN nebo NN</w:t>
      </w:r>
      <w:r w:rsidRPr="00503AFC">
        <w:rPr>
          <w:rFonts w:cstheme="minorHAnsi"/>
          <w:color w:val="000000"/>
        </w:rPr>
        <w:t xml:space="preserve"> v jednotlivých dnech a hodinách za příslušné hodinové ceny. P se vypočítá vždy za kalendářní měsíc a je vyjádřeno v Kč/MWh,</w:t>
      </w:r>
    </w:p>
    <w:p w14:paraId="58DB2C98" w14:textId="77777777" w:rsidR="00962FB3" w:rsidRPr="00503AFC" w:rsidRDefault="00190304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 xml:space="preserve">a = datum odběrového dne a pořadové číslo hodiny v dodacím období, </w:t>
      </w:r>
    </w:p>
    <w:p w14:paraId="45081373" w14:textId="6A92B534" w:rsidR="00190304" w:rsidRPr="00503AFC" w:rsidRDefault="00190304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>CENA = cena elektřiny v EUR/MWh (uvedená ve sloupci „</w:t>
      </w:r>
      <w:r w:rsidRPr="00503AFC">
        <w:rPr>
          <w:rFonts w:cstheme="minorHAnsi"/>
          <w:i/>
          <w:iCs/>
          <w:color w:val="000000"/>
        </w:rPr>
        <w:t>Vážený průměr cen EUR/MWh</w:t>
      </w:r>
      <w:r w:rsidRPr="00503AFC">
        <w:rPr>
          <w:rFonts w:cstheme="minorHAnsi"/>
          <w:color w:val="000000"/>
        </w:rPr>
        <w:t>“) na krátkodobém trhu pro příslušnou hodinu zveřejněný OTE a.s. na stránkách:</w:t>
      </w:r>
      <w:r w:rsidR="00040938" w:rsidRPr="00503AFC">
        <w:rPr>
          <w:rFonts w:cstheme="minorHAnsi"/>
          <w:color w:val="000000"/>
        </w:rPr>
        <w:t xml:space="preserve"> </w:t>
      </w:r>
      <w:hyperlink r:id="rId11" w:history="1">
        <w:r w:rsidR="00040938" w:rsidRPr="00503AFC">
          <w:rPr>
            <w:rStyle w:val="Hypertextovodkaz"/>
            <w:rFonts w:cstheme="minorHAnsi"/>
            <w:u w:val="none"/>
          </w:rPr>
          <w:t>https://www.ote-cr.cz/pubweb/attachments/62_162/2022/Rocni_zprava_o_trhu_2022_V0.zip</w:t>
        </w:r>
      </w:hyperlink>
      <w:r w:rsidR="00040938" w:rsidRPr="00503AFC">
        <w:rPr>
          <w:rFonts w:cstheme="minorHAnsi"/>
          <w:color w:val="000000"/>
        </w:rPr>
        <w:t xml:space="preserve"> </w:t>
      </w:r>
    </w:p>
    <w:p w14:paraId="61DEF50C" w14:textId="3058F4E1" w:rsidR="00190304" w:rsidRPr="00503AFC" w:rsidRDefault="00190304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>K = vysoutěžený</w:t>
      </w:r>
      <w:r w:rsidR="00000464">
        <w:rPr>
          <w:rFonts w:cstheme="minorHAnsi"/>
          <w:color w:val="000000"/>
        </w:rPr>
        <w:t xml:space="preserve"> přičítací</w:t>
      </w:r>
      <w:r w:rsidRPr="00503AFC">
        <w:rPr>
          <w:rFonts w:cstheme="minorHAnsi"/>
          <w:color w:val="000000"/>
        </w:rPr>
        <w:t xml:space="preserve"> koeficient v EUR/MWh,</w:t>
      </w:r>
    </w:p>
    <w:p w14:paraId="416BB822" w14:textId="379124CB" w:rsidR="00190304" w:rsidRPr="00503AFC" w:rsidRDefault="00190304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>C</w:t>
      </w:r>
      <w:r w:rsidRPr="00503AFC">
        <w:rPr>
          <w:rFonts w:cstheme="minorHAnsi"/>
          <w:color w:val="000000"/>
          <w:vertAlign w:val="subscript"/>
        </w:rPr>
        <w:t>a</w:t>
      </w:r>
      <w:r w:rsidRPr="00503AFC">
        <w:rPr>
          <w:rFonts w:cstheme="minorHAnsi"/>
          <w:color w:val="000000"/>
        </w:rPr>
        <w:t xml:space="preserve"> = skutečná dodávka elektřiny v MWh v příslušném dni a hodině,</w:t>
      </w:r>
    </w:p>
    <w:p w14:paraId="5C83C3F8" w14:textId="07278942" w:rsidR="00190304" w:rsidRPr="00503AFC" w:rsidRDefault="00190304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>C = celková dodávka elektřiny v MWh za dodací období (kalendářní měsíc),</w:t>
      </w:r>
    </w:p>
    <w:p w14:paraId="7C431D98" w14:textId="7739F3C5" w:rsidR="0031332E" w:rsidRDefault="00190304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 w:rsidRPr="00503AFC">
        <w:rPr>
          <w:rFonts w:cstheme="minorHAnsi"/>
          <w:color w:val="000000"/>
        </w:rPr>
        <w:t>Kurz</w:t>
      </w:r>
      <w:r w:rsidRPr="00503AFC">
        <w:rPr>
          <w:rFonts w:cstheme="minorHAnsi"/>
          <w:color w:val="000000"/>
          <w:vertAlign w:val="subscript"/>
        </w:rPr>
        <w:t>a</w:t>
      </w:r>
      <w:r w:rsidRPr="00503AFC">
        <w:rPr>
          <w:rFonts w:cstheme="minorHAnsi"/>
          <w:color w:val="000000"/>
        </w:rPr>
        <w:t xml:space="preserve"> = devizový kurz </w:t>
      </w:r>
      <w:r w:rsidR="002950C6" w:rsidRPr="00503AFC">
        <w:rPr>
          <w:rFonts w:cstheme="minorHAnsi"/>
          <w:color w:val="000000"/>
        </w:rPr>
        <w:t>CZK</w:t>
      </w:r>
      <w:r w:rsidRPr="00503AFC">
        <w:rPr>
          <w:rFonts w:cstheme="minorHAnsi"/>
          <w:color w:val="000000"/>
        </w:rPr>
        <w:t>/</w:t>
      </w:r>
      <w:r w:rsidR="002950C6" w:rsidRPr="00503AFC">
        <w:rPr>
          <w:rFonts w:cstheme="minorHAnsi"/>
          <w:color w:val="000000"/>
        </w:rPr>
        <w:t>EUR</w:t>
      </w:r>
      <w:r w:rsidRPr="00503AFC">
        <w:rPr>
          <w:rFonts w:cstheme="minorHAnsi"/>
          <w:color w:val="000000"/>
        </w:rPr>
        <w:t xml:space="preserve"> vyhlášený ČNB pro daný den daného měsíce, uvedené na stránkách</w:t>
      </w:r>
      <w:r w:rsidR="00261C56" w:rsidRPr="00503AFC">
        <w:rPr>
          <w:rFonts w:cstheme="minorHAnsi"/>
          <w:color w:val="000000"/>
        </w:rPr>
        <w:t>:</w:t>
      </w:r>
      <w:r w:rsidR="002950C6" w:rsidRPr="00503AFC">
        <w:rPr>
          <w:rFonts w:cstheme="minorHAnsi"/>
          <w:color w:val="000000"/>
        </w:rPr>
        <w:t xml:space="preserve"> </w:t>
      </w:r>
      <w:hyperlink r:id="rId12" w:history="1">
        <w:r w:rsidR="00261C56" w:rsidRPr="00503AFC">
          <w:rPr>
            <w:rStyle w:val="Hypertextovodkaz"/>
            <w:rFonts w:cstheme="minorHAnsi"/>
            <w:u w:val="none"/>
          </w:rPr>
          <w:t>https://www.cnb.cz/cs/financni-trhy/devizovy-trh/kurzy-devizoveho-trhu/kurzy-devizoveho-trhu/</w:t>
        </w:r>
      </w:hyperlink>
      <w:r w:rsidR="00261C56" w:rsidRPr="00503AFC">
        <w:rPr>
          <w:rFonts w:cstheme="minorHAnsi"/>
          <w:color w:val="000000"/>
        </w:rPr>
        <w:t>.</w:t>
      </w:r>
    </w:p>
    <w:p w14:paraId="0549D132" w14:textId="4A520DA9" w:rsidR="0031332E" w:rsidRDefault="0031332E" w:rsidP="0031332E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</w:rPr>
      </w:pPr>
    </w:p>
    <w:p w14:paraId="48E2EC31" w14:textId="03BE34AE" w:rsidR="0031332E" w:rsidRPr="0031332E" w:rsidRDefault="0031332E" w:rsidP="0031332E">
      <w:pPr>
        <w:autoSpaceDE w:val="0"/>
        <w:autoSpaceDN w:val="0"/>
        <w:adjustRightInd w:val="0"/>
        <w:spacing w:after="0" w:line="240" w:lineRule="auto"/>
        <w:ind w:left="127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Pro </w:t>
      </w:r>
      <w:r w:rsidR="002723A8">
        <w:rPr>
          <w:rFonts w:cstheme="minorHAnsi"/>
          <w:color w:val="000000"/>
        </w:rPr>
        <w:t xml:space="preserve">vyloučení </w:t>
      </w:r>
      <w:r>
        <w:rPr>
          <w:rFonts w:cstheme="minorHAnsi"/>
          <w:color w:val="000000"/>
        </w:rPr>
        <w:t xml:space="preserve">pochybností </w:t>
      </w:r>
      <w:r w:rsidR="00DC1817">
        <w:rPr>
          <w:rFonts w:cstheme="minorHAnsi"/>
          <w:color w:val="000000"/>
        </w:rPr>
        <w:t xml:space="preserve">Zadavatel uvádí, že stejný výpočtový vzorec se využije </w:t>
      </w:r>
      <w:r w:rsidR="00E938DE">
        <w:rPr>
          <w:rFonts w:cstheme="minorHAnsi"/>
          <w:color w:val="000000"/>
        </w:rPr>
        <w:t xml:space="preserve">pro výpočet ceny elektřiny v měsíci </w:t>
      </w:r>
      <w:r w:rsidR="00B004B5">
        <w:rPr>
          <w:rFonts w:cstheme="minorHAnsi"/>
          <w:color w:val="000000"/>
        </w:rPr>
        <w:t xml:space="preserve">pro </w:t>
      </w:r>
      <w:r w:rsidR="00645339">
        <w:rPr>
          <w:rFonts w:cstheme="minorHAnsi"/>
          <w:color w:val="000000"/>
        </w:rPr>
        <w:t>elektrickou</w:t>
      </w:r>
      <w:r w:rsidR="00B004B5">
        <w:rPr>
          <w:rFonts w:cstheme="minorHAnsi"/>
          <w:color w:val="000000"/>
        </w:rPr>
        <w:t xml:space="preserve"> energii v</w:t>
      </w:r>
      <w:r w:rsidR="00330B8E">
        <w:rPr>
          <w:rFonts w:cstheme="minorHAnsi"/>
          <w:color w:val="000000"/>
        </w:rPr>
        <w:t> </w:t>
      </w:r>
      <w:r w:rsidR="00626EF2">
        <w:rPr>
          <w:rFonts w:cstheme="minorHAnsi"/>
          <w:color w:val="000000"/>
        </w:rPr>
        <w:t>napěťové</w:t>
      </w:r>
      <w:r w:rsidR="00B004B5">
        <w:rPr>
          <w:rFonts w:cstheme="minorHAnsi"/>
          <w:color w:val="000000"/>
        </w:rPr>
        <w:t xml:space="preserve"> hladině VN </w:t>
      </w:r>
      <w:r w:rsidR="007A4F36">
        <w:rPr>
          <w:rFonts w:cstheme="minorHAnsi"/>
          <w:color w:val="000000"/>
        </w:rPr>
        <w:t>i</w:t>
      </w:r>
      <w:r w:rsidR="00B004B5">
        <w:rPr>
          <w:rFonts w:cstheme="minorHAnsi"/>
          <w:color w:val="000000"/>
        </w:rPr>
        <w:t xml:space="preserve"> NN</w:t>
      </w:r>
      <w:r w:rsidR="007A4F36">
        <w:rPr>
          <w:rFonts w:cstheme="minorHAnsi"/>
          <w:color w:val="000000"/>
        </w:rPr>
        <w:t xml:space="preserve">, </w:t>
      </w:r>
      <w:r w:rsidR="00362667">
        <w:rPr>
          <w:rFonts w:cstheme="minorHAnsi"/>
          <w:color w:val="000000"/>
        </w:rPr>
        <w:t xml:space="preserve">tedy že </w:t>
      </w:r>
      <w:r w:rsidR="00260223">
        <w:rPr>
          <w:rFonts w:cstheme="minorHAnsi"/>
          <w:color w:val="000000"/>
        </w:rPr>
        <w:t xml:space="preserve">do vzorce budou </w:t>
      </w:r>
      <w:r w:rsidR="00641311">
        <w:rPr>
          <w:rFonts w:cstheme="minorHAnsi"/>
          <w:color w:val="000000"/>
        </w:rPr>
        <w:t xml:space="preserve">dosazeny ceny týkající se </w:t>
      </w:r>
      <w:r w:rsidR="00362667">
        <w:rPr>
          <w:rFonts w:cstheme="minorHAnsi"/>
          <w:color w:val="000000"/>
        </w:rPr>
        <w:t>elektrické energie v</w:t>
      </w:r>
      <w:r w:rsidR="00330B8E">
        <w:rPr>
          <w:rFonts w:cstheme="minorHAnsi"/>
          <w:color w:val="000000"/>
        </w:rPr>
        <w:t> </w:t>
      </w:r>
      <w:r w:rsidR="00362667">
        <w:rPr>
          <w:rFonts w:cstheme="minorHAnsi"/>
          <w:color w:val="000000"/>
        </w:rPr>
        <w:t>příslušné napěťové hadině</w:t>
      </w:r>
      <w:r w:rsidR="00330B8E">
        <w:rPr>
          <w:rFonts w:cstheme="minorHAnsi"/>
          <w:color w:val="000000"/>
        </w:rPr>
        <w:t>, přičemž přičítací koeficient zůstává stejný v obou případech</w:t>
      </w:r>
      <w:r w:rsidR="00362667">
        <w:rPr>
          <w:rFonts w:cstheme="minorHAnsi"/>
          <w:color w:val="000000"/>
        </w:rPr>
        <w:t xml:space="preserve">. </w:t>
      </w:r>
    </w:p>
    <w:p w14:paraId="01F084A2" w14:textId="77777777" w:rsidR="00503AFC" w:rsidRPr="00503AFC" w:rsidRDefault="00503AFC" w:rsidP="00503AFC">
      <w:pPr>
        <w:pStyle w:val="Odstavecseseznamem"/>
        <w:autoSpaceDE w:val="0"/>
        <w:autoSpaceDN w:val="0"/>
        <w:adjustRightInd w:val="0"/>
        <w:spacing w:after="0" w:line="240" w:lineRule="auto"/>
        <w:ind w:left="1276"/>
        <w:jc w:val="left"/>
        <w:rPr>
          <w:rFonts w:cstheme="minorHAnsi"/>
          <w:color w:val="000000"/>
        </w:rPr>
      </w:pPr>
    </w:p>
    <w:p w14:paraId="59AD9FD5" w14:textId="2ECF4AEE" w:rsidR="00E56882" w:rsidRDefault="00E56882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color w:val="000000"/>
        </w:rPr>
      </w:pPr>
      <w:r>
        <w:rPr>
          <w:rFonts w:cstheme="minorHAnsi"/>
          <w:color w:val="000000"/>
        </w:rPr>
        <w:t>v</w:t>
      </w:r>
      <w:r w:rsidR="004F7B67" w:rsidRPr="00503AFC">
        <w:rPr>
          <w:rFonts w:cstheme="minorHAnsi"/>
          <w:color w:val="000000"/>
        </w:rPr>
        <w:t>ýsledná prodejní cena se upraví dle nařízení vlády č. 298/2022 Sb.</w:t>
      </w:r>
      <w:r>
        <w:rPr>
          <w:rFonts w:cstheme="minorHAnsi"/>
          <w:color w:val="000000"/>
        </w:rPr>
        <w:t>;</w:t>
      </w:r>
    </w:p>
    <w:p w14:paraId="3D15A21F" w14:textId="70BA8466" w:rsidR="002264CB" w:rsidRPr="00EA6CEC" w:rsidRDefault="00E56882" w:rsidP="00DA722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cstheme="minorHAnsi"/>
          <w:color w:val="000000"/>
        </w:rPr>
      </w:pPr>
      <w:r>
        <w:rPr>
          <w:rFonts w:cstheme="minorHAnsi"/>
          <w:color w:val="000000"/>
        </w:rPr>
        <w:t>dodavatel není oprávněn po odběrateli požadovat složení jistoty.</w:t>
      </w:r>
    </w:p>
    <w:p w14:paraId="3FC9BD1A" w14:textId="77777777" w:rsidR="006C2036" w:rsidRPr="006C2036" w:rsidRDefault="006C2036" w:rsidP="00DA7226">
      <w:pPr>
        <w:pStyle w:val="Nadpis1"/>
      </w:pPr>
      <w:r w:rsidRPr="006C2036">
        <w:t>ZPŮSOB ZPRACOVÁNÍ NABÍDKOVÉ CENY</w:t>
      </w:r>
    </w:p>
    <w:p w14:paraId="08F9E456" w14:textId="7A6600D5" w:rsidR="00F44347" w:rsidRPr="00326A38" w:rsidRDefault="00E743AB" w:rsidP="00326A38">
      <w:pPr>
        <w:spacing w:before="120"/>
        <w:rPr>
          <w:rFonts w:ascii="Calibri" w:hAnsi="Calibri" w:cs="Calibri"/>
          <w:color w:val="000000"/>
        </w:rPr>
      </w:pPr>
      <w:bookmarkStart w:id="7" w:name="_Hlk51233760"/>
      <w:r w:rsidRPr="00326A38">
        <w:rPr>
          <w:rFonts w:ascii="Calibri" w:hAnsi="Calibri" w:cs="Calibri"/>
          <w:color w:val="000000"/>
        </w:rPr>
        <w:t>Nabídková cena bude uvedena v</w:t>
      </w:r>
      <w:r w:rsidR="00147297" w:rsidRPr="00326A38">
        <w:rPr>
          <w:rFonts w:ascii="Calibri" w:hAnsi="Calibri" w:cs="Calibri"/>
          <w:color w:val="000000"/>
        </w:rPr>
        <w:t xml:space="preserve"> krycím listu </w:t>
      </w:r>
      <w:r w:rsidRPr="00326A38">
        <w:rPr>
          <w:rFonts w:ascii="Calibri" w:hAnsi="Calibri" w:cs="Calibri"/>
          <w:color w:val="000000"/>
        </w:rPr>
        <w:t>nabídky</w:t>
      </w:r>
      <w:r w:rsidR="00147297" w:rsidRPr="00326A38">
        <w:rPr>
          <w:rFonts w:ascii="Calibri" w:hAnsi="Calibri" w:cs="Calibri"/>
          <w:color w:val="000000"/>
        </w:rPr>
        <w:t xml:space="preserve">, který tvoří přílohu č. 1 Zadávací dokumentace, </w:t>
      </w:r>
      <w:r w:rsidRPr="00326A38">
        <w:rPr>
          <w:rFonts w:ascii="Calibri" w:hAnsi="Calibri" w:cs="Calibri"/>
          <w:color w:val="000000"/>
        </w:rPr>
        <w:t xml:space="preserve">a bude zpracována jako cena přičítacího koeficientu, který je stejný pro </w:t>
      </w:r>
      <w:r w:rsidR="003801D0" w:rsidRPr="00326A38">
        <w:rPr>
          <w:rFonts w:ascii="Calibri" w:hAnsi="Calibri" w:cs="Calibri"/>
          <w:color w:val="000000"/>
        </w:rPr>
        <w:t>hladinu VN i NN</w:t>
      </w:r>
      <w:r w:rsidR="00156B2F" w:rsidRPr="00326A38">
        <w:rPr>
          <w:rFonts w:ascii="Calibri" w:hAnsi="Calibri" w:cs="Calibri"/>
          <w:color w:val="000000"/>
        </w:rPr>
        <w:t>,</w:t>
      </w:r>
      <w:r w:rsidR="003801D0" w:rsidRPr="00326A38">
        <w:rPr>
          <w:rFonts w:ascii="Calibri" w:hAnsi="Calibri" w:cs="Calibri"/>
          <w:color w:val="000000"/>
        </w:rPr>
        <w:t xml:space="preserve"> </w:t>
      </w:r>
      <w:r w:rsidRPr="00326A38">
        <w:rPr>
          <w:rFonts w:ascii="Calibri" w:hAnsi="Calibri" w:cs="Calibri"/>
          <w:color w:val="000000"/>
        </w:rPr>
        <w:t>v</w:t>
      </w:r>
      <w:r w:rsidR="003801D0" w:rsidRPr="00326A38">
        <w:rPr>
          <w:rFonts w:ascii="Calibri" w:hAnsi="Calibri" w:cs="Calibri"/>
          <w:color w:val="000000"/>
        </w:rPr>
        <w:t> </w:t>
      </w:r>
      <w:r w:rsidR="00212A8C">
        <w:rPr>
          <w:rFonts w:ascii="Calibri" w:hAnsi="Calibri" w:cs="Calibri"/>
          <w:color w:val="000000"/>
        </w:rPr>
        <w:t>Kč</w:t>
      </w:r>
      <w:r w:rsidR="00212A8C" w:rsidRPr="00326A38">
        <w:rPr>
          <w:rFonts w:ascii="Calibri" w:hAnsi="Calibri" w:cs="Calibri"/>
          <w:color w:val="000000"/>
        </w:rPr>
        <w:t xml:space="preserve"> </w:t>
      </w:r>
      <w:r w:rsidRPr="00326A38">
        <w:rPr>
          <w:rFonts w:ascii="Calibri" w:hAnsi="Calibri" w:cs="Calibri"/>
          <w:color w:val="000000"/>
        </w:rPr>
        <w:t>bez DPH za dodávku 1</w:t>
      </w:r>
      <w:r w:rsidR="00A95CA3">
        <w:rPr>
          <w:rFonts w:ascii="Calibri" w:hAnsi="Calibri" w:cs="Calibri"/>
          <w:color w:val="000000"/>
        </w:rPr>
        <w:t> </w:t>
      </w:r>
      <w:r w:rsidRPr="00326A38">
        <w:rPr>
          <w:rFonts w:ascii="Calibri" w:hAnsi="Calibri" w:cs="Calibri"/>
          <w:color w:val="000000"/>
        </w:rPr>
        <w:t>MWh silové elektřiny</w:t>
      </w:r>
      <w:r w:rsidR="00326A38">
        <w:rPr>
          <w:rFonts w:ascii="Calibri" w:hAnsi="Calibri" w:cs="Calibri"/>
          <w:color w:val="000000"/>
        </w:rPr>
        <w:t>.</w:t>
      </w:r>
      <w:r w:rsidR="00AA24EE">
        <w:rPr>
          <w:rFonts w:ascii="Calibri" w:hAnsi="Calibri" w:cs="Calibri"/>
          <w:color w:val="000000"/>
        </w:rPr>
        <w:t xml:space="preserve"> Přepočet přičítacího koeficientu z případné </w:t>
      </w:r>
      <w:r w:rsidR="00CB6B8F">
        <w:rPr>
          <w:rFonts w:ascii="Calibri" w:hAnsi="Calibri" w:cs="Calibri"/>
          <w:color w:val="000000"/>
        </w:rPr>
        <w:t>jiné měny</w:t>
      </w:r>
      <w:r w:rsidR="00AA24EE">
        <w:rPr>
          <w:rFonts w:ascii="Calibri" w:hAnsi="Calibri" w:cs="Calibri"/>
          <w:color w:val="000000"/>
        </w:rPr>
        <w:t xml:space="preserve"> na Kč provede dodavatel </w:t>
      </w:r>
      <w:r w:rsidR="00CB6B8F">
        <w:rPr>
          <w:rFonts w:ascii="Calibri" w:hAnsi="Calibri" w:cs="Calibri"/>
          <w:color w:val="000000"/>
        </w:rPr>
        <w:t xml:space="preserve">pro účely stanovení nabídkové ceny dle kurzu ČNB stanovenému </w:t>
      </w:r>
      <w:r w:rsidR="00A97CE4">
        <w:rPr>
          <w:rFonts w:ascii="Calibri" w:hAnsi="Calibri" w:cs="Calibri"/>
          <w:color w:val="000000"/>
        </w:rPr>
        <w:t>ke dni zahájení zadávacího řízení.</w:t>
      </w:r>
    </w:p>
    <w:p w14:paraId="16674C9D" w14:textId="5F3C062F" w:rsidR="007638C0" w:rsidRDefault="00777A26" w:rsidP="00BC7D44">
      <w:pPr>
        <w:spacing w:before="120"/>
        <w:rPr>
          <w:rFonts w:ascii="Calibri" w:hAnsi="Calibri" w:cs="Calibri"/>
          <w:color w:val="000000"/>
        </w:rPr>
      </w:pPr>
      <w:r w:rsidRPr="00777A26">
        <w:rPr>
          <w:rFonts w:ascii="Calibri" w:hAnsi="Calibri" w:cs="Calibri"/>
          <w:color w:val="000000"/>
        </w:rPr>
        <w:t xml:space="preserve">Celková nabídková cena musí zahrnovat </w:t>
      </w:r>
      <w:r w:rsidRPr="00777A26">
        <w:rPr>
          <w:rFonts w:ascii="Calibri" w:hAnsi="Calibri" w:cs="Calibri"/>
          <w:b/>
          <w:bCs/>
          <w:color w:val="000000"/>
        </w:rPr>
        <w:t>veškeré náklady dodavatele spojené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777A26">
        <w:rPr>
          <w:rFonts w:ascii="Calibri" w:hAnsi="Calibri" w:cs="Calibri"/>
          <w:b/>
          <w:bCs/>
          <w:color w:val="000000"/>
        </w:rPr>
        <w:t xml:space="preserve">s plněním </w:t>
      </w:r>
      <w:r>
        <w:rPr>
          <w:rFonts w:ascii="Calibri" w:hAnsi="Calibri" w:cs="Calibri"/>
          <w:b/>
          <w:bCs/>
          <w:color w:val="000000"/>
        </w:rPr>
        <w:t>V</w:t>
      </w:r>
      <w:r w:rsidRPr="00777A26">
        <w:rPr>
          <w:rFonts w:ascii="Calibri" w:hAnsi="Calibri" w:cs="Calibri"/>
          <w:b/>
          <w:bCs/>
          <w:color w:val="000000"/>
        </w:rPr>
        <w:t>eřejné zakázky</w:t>
      </w:r>
      <w:r>
        <w:rPr>
          <w:rFonts w:ascii="Calibri" w:hAnsi="Calibri" w:cs="Calibri"/>
          <w:b/>
          <w:bCs/>
          <w:color w:val="000000"/>
        </w:rPr>
        <w:t>.</w:t>
      </w:r>
    </w:p>
    <w:bookmarkEnd w:id="7"/>
    <w:p w14:paraId="59739BE2" w14:textId="77777777" w:rsidR="00FF066F" w:rsidRPr="00FF066F" w:rsidRDefault="00FF066F" w:rsidP="00DA7226">
      <w:pPr>
        <w:pStyle w:val="Nadpis1"/>
      </w:pPr>
      <w:r w:rsidRPr="00FF066F">
        <w:t>HODNOCENÍ NABÍDEK</w:t>
      </w:r>
    </w:p>
    <w:p w14:paraId="2857C177" w14:textId="77777777" w:rsidR="008D151B" w:rsidRDefault="0064223D" w:rsidP="0064223D">
      <w:pPr>
        <w:spacing w:before="120"/>
        <w:rPr>
          <w:rFonts w:ascii="Calibri" w:hAnsi="Calibri" w:cs="Calibri"/>
          <w:color w:val="000000"/>
        </w:rPr>
      </w:pPr>
      <w:r w:rsidRPr="0064223D">
        <w:rPr>
          <w:rFonts w:ascii="Calibri" w:hAnsi="Calibri" w:cs="Calibri"/>
          <w:color w:val="000000"/>
        </w:rPr>
        <w:t>Základním hodnotícím kritériem pro zadání Veřejné zakázky je ekonomická výhodnost nabídky dle § 114 a násl.</w:t>
      </w:r>
      <w:r>
        <w:rPr>
          <w:rFonts w:ascii="Calibri" w:hAnsi="Calibri" w:cs="Calibri"/>
          <w:color w:val="000000"/>
        </w:rPr>
        <w:t> </w:t>
      </w:r>
      <w:r w:rsidRPr="0064223D">
        <w:rPr>
          <w:rFonts w:ascii="Calibri" w:hAnsi="Calibri" w:cs="Calibri"/>
          <w:color w:val="000000"/>
        </w:rPr>
        <w:t xml:space="preserve">ZZVZ. </w:t>
      </w:r>
    </w:p>
    <w:p w14:paraId="4BD18BCC" w14:textId="16A9542B" w:rsidR="0064223D" w:rsidRDefault="005A2BBD" w:rsidP="0064223D">
      <w:pPr>
        <w:spacing w:before="120"/>
        <w:rPr>
          <w:rFonts w:ascii="Calibri" w:hAnsi="Calibri" w:cs="Calibri"/>
          <w:color w:val="000000"/>
        </w:rPr>
      </w:pPr>
      <w:r w:rsidRPr="005A2BBD">
        <w:rPr>
          <w:rFonts w:ascii="Calibri" w:hAnsi="Calibri" w:cs="Calibri"/>
          <w:color w:val="000000"/>
        </w:rPr>
        <w:t xml:space="preserve">Předmětem hodnocení bude </w:t>
      </w:r>
      <w:r w:rsidRPr="005A2BBD">
        <w:rPr>
          <w:rFonts w:ascii="Calibri" w:hAnsi="Calibri" w:cs="Calibri"/>
          <w:b/>
          <w:bCs/>
          <w:color w:val="000000"/>
        </w:rPr>
        <w:t xml:space="preserve">nabídková cena přičítacího koeficientu v </w:t>
      </w:r>
      <w:r w:rsidR="000B4DC8">
        <w:rPr>
          <w:rFonts w:ascii="Calibri" w:hAnsi="Calibri" w:cs="Calibri"/>
          <w:b/>
          <w:bCs/>
          <w:color w:val="000000"/>
        </w:rPr>
        <w:t>Kč</w:t>
      </w:r>
      <w:r w:rsidR="000B4DC8" w:rsidRPr="005A2BBD">
        <w:rPr>
          <w:rFonts w:ascii="Calibri" w:hAnsi="Calibri" w:cs="Calibri"/>
          <w:b/>
          <w:bCs/>
          <w:color w:val="000000"/>
        </w:rPr>
        <w:t xml:space="preserve"> </w:t>
      </w:r>
      <w:r w:rsidRPr="005A2BBD">
        <w:rPr>
          <w:rFonts w:ascii="Calibri" w:hAnsi="Calibri" w:cs="Calibri"/>
          <w:b/>
          <w:bCs/>
          <w:color w:val="000000"/>
        </w:rPr>
        <w:t xml:space="preserve">bez DPH za 1 MWh </w:t>
      </w:r>
      <w:r w:rsidRPr="005A2BBD">
        <w:rPr>
          <w:rFonts w:ascii="Calibri" w:hAnsi="Calibri" w:cs="Calibri"/>
          <w:color w:val="000000"/>
        </w:rPr>
        <w:t>stanovená dodavatelem v</w:t>
      </w:r>
      <w:r>
        <w:rPr>
          <w:rFonts w:ascii="Calibri" w:hAnsi="Calibri" w:cs="Calibri"/>
          <w:color w:val="000000"/>
        </w:rPr>
        <w:t> krycím listu nabídky, který tvoří přílohu č. 1 Zadávací dokumentace</w:t>
      </w:r>
      <w:r w:rsidR="00B65F66">
        <w:rPr>
          <w:rFonts w:ascii="Calibri" w:hAnsi="Calibri" w:cs="Calibri"/>
          <w:color w:val="000000"/>
        </w:rPr>
        <w:t>, v souladu s touto Zadávací dokumentací</w:t>
      </w:r>
      <w:r w:rsidRPr="005A2BBD">
        <w:rPr>
          <w:rFonts w:ascii="Calibri" w:hAnsi="Calibri" w:cs="Calibri"/>
          <w:color w:val="000000"/>
        </w:rPr>
        <w:t xml:space="preserve">. Jako nejvýhodnější nabídka bude vyhodnocena nabídka s nejnižší nabídkovou cenou přičítacího </w:t>
      </w:r>
      <w:r w:rsidRPr="005A2BBD">
        <w:rPr>
          <w:rFonts w:ascii="Calibri" w:hAnsi="Calibri" w:cs="Calibri"/>
          <w:color w:val="000000"/>
        </w:rPr>
        <w:lastRenderedPageBreak/>
        <w:t>koeficientu v</w:t>
      </w:r>
      <w:r w:rsidR="00B65F66">
        <w:rPr>
          <w:rFonts w:ascii="Calibri" w:hAnsi="Calibri" w:cs="Calibri"/>
          <w:color w:val="000000"/>
        </w:rPr>
        <w:t> </w:t>
      </w:r>
      <w:r w:rsidR="00726F04">
        <w:rPr>
          <w:rFonts w:ascii="Calibri" w:hAnsi="Calibri" w:cs="Calibri"/>
          <w:color w:val="000000"/>
        </w:rPr>
        <w:t xml:space="preserve">Kč </w:t>
      </w:r>
      <w:r w:rsidRPr="005A2BBD">
        <w:rPr>
          <w:rFonts w:ascii="Calibri" w:hAnsi="Calibri" w:cs="Calibri"/>
          <w:color w:val="000000"/>
        </w:rPr>
        <w:t>bez DPH za 1 MWh.</w:t>
      </w:r>
      <w:r w:rsidR="000D61DA">
        <w:rPr>
          <w:rFonts w:ascii="Calibri" w:hAnsi="Calibri" w:cs="Calibri"/>
          <w:color w:val="000000"/>
        </w:rPr>
        <w:t xml:space="preserve"> </w:t>
      </w:r>
      <w:r w:rsidR="0064223D" w:rsidRPr="0064223D">
        <w:rPr>
          <w:rFonts w:ascii="Calibri" w:hAnsi="Calibri" w:cs="Calibri"/>
          <w:color w:val="000000"/>
        </w:rPr>
        <w:t xml:space="preserve">Další pořadí bude sestaveno dle výše celkových nabídkových cen bez DPH vzestupně. </w:t>
      </w:r>
    </w:p>
    <w:p w14:paraId="4D75C084" w14:textId="31811A8F" w:rsidR="00770EAC" w:rsidRPr="0064223D" w:rsidRDefault="00AF50C0" w:rsidP="0064223D">
      <w:pPr>
        <w:spacing w:before="1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případě, že dojde k rovnosti nabídkových cen</w:t>
      </w:r>
      <w:r w:rsidR="003048E6">
        <w:rPr>
          <w:rFonts w:ascii="Calibri" w:hAnsi="Calibri" w:cs="Calibri"/>
          <w:color w:val="000000"/>
        </w:rPr>
        <w:t xml:space="preserve">, bude o konečném pořadí nabídek rozhodnuto na základě </w:t>
      </w:r>
      <w:r w:rsidR="00C76C28">
        <w:rPr>
          <w:rFonts w:ascii="Calibri" w:hAnsi="Calibri" w:cs="Calibri"/>
          <w:color w:val="000000"/>
        </w:rPr>
        <w:t>času podání nabídky na Veřejnou zakázku (ve formátu DD:HH:MM:SS)</w:t>
      </w:r>
      <w:r w:rsidR="00DF062D">
        <w:rPr>
          <w:rFonts w:ascii="Calibri" w:hAnsi="Calibri" w:cs="Calibri"/>
          <w:color w:val="000000"/>
        </w:rPr>
        <w:t xml:space="preserve">, kdy nabídka podaná dříve bude vyhodnocena jako </w:t>
      </w:r>
      <w:r w:rsidR="00A61D62">
        <w:rPr>
          <w:rFonts w:ascii="Calibri" w:hAnsi="Calibri" w:cs="Calibri"/>
          <w:color w:val="000000"/>
        </w:rPr>
        <w:t xml:space="preserve">výhodnější. </w:t>
      </w:r>
    </w:p>
    <w:p w14:paraId="6E686256" w14:textId="77777777" w:rsidR="00FF066F" w:rsidRPr="00FF066F" w:rsidRDefault="00FF066F" w:rsidP="00DA7226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DA7226">
      <w:pPr>
        <w:pStyle w:val="Nadpis2"/>
        <w:ind w:left="851" w:hanging="851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DA7226">
      <w:pPr>
        <w:pStyle w:val="Nadpis2"/>
        <w:ind w:left="851" w:hanging="851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57CF6CD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 xml:space="preserve">jiných </w:t>
      </w:r>
      <w:r w:rsidR="00C17344">
        <w:rPr>
          <w:rFonts w:cs="Tahoma"/>
        </w:rPr>
        <w:t>osob</w:t>
      </w:r>
      <w:r w:rsidR="00C17344" w:rsidRPr="00DF37AE">
        <w:rPr>
          <w:rFonts w:cs="Tahoma"/>
        </w:rPr>
        <w:t>,</w:t>
      </w:r>
      <w:r w:rsidR="00C17344">
        <w:rPr>
          <w:rFonts w:cs="Tahoma"/>
        </w:rPr>
        <w:t xml:space="preserve"> </w:t>
      </w:r>
      <w:r w:rsidR="00C17344" w:rsidRPr="00DF37AE">
        <w:rPr>
          <w:rFonts w:cs="Tahoma"/>
        </w:rPr>
        <w:t>musí</w:t>
      </w:r>
      <w:r w:rsidRPr="00DF37AE">
        <w:rPr>
          <w:rFonts w:cs="Tahoma"/>
        </w:rPr>
        <w:t xml:space="preserve"> být tato osoba či osoby v předloženém seznamu poddodavatelů uvedeny (s uvedením rozsahu poskytovaných </w:t>
      </w:r>
      <w:r w:rsidR="00F310FA">
        <w:rPr>
          <w:rFonts w:cs="Tahoma"/>
        </w:rPr>
        <w:t>plnění</w:t>
      </w:r>
      <w:r w:rsidRPr="00DF37AE">
        <w:rPr>
          <w:rFonts w:cs="Tahoma"/>
        </w:rPr>
        <w:t xml:space="preserve">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0E3FB4CE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5F6F69">
        <w:rPr>
          <w:rFonts w:asciiTheme="minorHAnsi" w:hAnsiTheme="minorHAnsi" w:cs="Tahoma"/>
          <w:sz w:val="22"/>
          <w:szCs w:val="24"/>
        </w:rPr>
        <w:t xml:space="preserve">přílohu </w:t>
      </w:r>
      <w:r w:rsidRPr="005F6F69">
        <w:rPr>
          <w:rFonts w:asciiTheme="minorHAnsi" w:hAnsiTheme="minorHAnsi" w:cs="Tahoma"/>
          <w:sz w:val="22"/>
          <w:szCs w:val="24"/>
        </w:rPr>
        <w:t xml:space="preserve">č. </w:t>
      </w:r>
      <w:r w:rsidR="002D17D2">
        <w:rPr>
          <w:rFonts w:asciiTheme="minorHAnsi" w:hAnsiTheme="minorHAnsi" w:cs="Tahoma"/>
          <w:sz w:val="22"/>
          <w:szCs w:val="24"/>
        </w:rPr>
        <w:t>4</w:t>
      </w:r>
      <w:r w:rsidR="0082623C" w:rsidRPr="005F6F69">
        <w:rPr>
          <w:rFonts w:asciiTheme="minorHAnsi" w:hAnsiTheme="minorHAnsi" w:cs="Tahoma"/>
          <w:sz w:val="22"/>
          <w:szCs w:val="24"/>
        </w:rPr>
        <w:t xml:space="preserve"> </w:t>
      </w:r>
      <w:r w:rsidRPr="005F6F69">
        <w:rPr>
          <w:rFonts w:asciiTheme="minorHAnsi" w:hAnsiTheme="minorHAnsi" w:cs="Tahoma"/>
          <w:sz w:val="22"/>
          <w:szCs w:val="24"/>
        </w:rPr>
        <w:t>Zadávací</w:t>
      </w:r>
      <w:r w:rsidRPr="00ED4CA5">
        <w:rPr>
          <w:rFonts w:asciiTheme="minorHAnsi" w:hAnsiTheme="minorHAnsi" w:cs="Tahoma"/>
          <w:sz w:val="22"/>
          <w:szCs w:val="24"/>
        </w:rPr>
        <w:t xml:space="preserve"> dokumentace. </w:t>
      </w:r>
    </w:p>
    <w:p w14:paraId="3D07FBB5" w14:textId="075F46AC" w:rsidR="00944D47" w:rsidRDefault="00AC394D" w:rsidP="00DA7226">
      <w:pPr>
        <w:pStyle w:val="Nadpis2"/>
        <w:ind w:left="851" w:hanging="851"/>
        <w:rPr>
          <w:rFonts w:cs="Tahoma"/>
          <w:sz w:val="22"/>
          <w:szCs w:val="24"/>
        </w:rPr>
      </w:pPr>
      <w:r>
        <w:t>Mezinárodní sankce</w:t>
      </w:r>
    </w:p>
    <w:p w14:paraId="7B6BC9D0" w14:textId="0CEA6762" w:rsidR="00944D47" w:rsidRPr="00AC394D" w:rsidRDefault="00944D47" w:rsidP="00AC394D">
      <w:pPr>
        <w:pStyle w:val="odsazfurt"/>
        <w:spacing w:before="120"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AC394D">
        <w:rPr>
          <w:rFonts w:asciiTheme="minorHAnsi" w:hAnsiTheme="minorHAnsi" w:cs="Arial"/>
          <w:sz w:val="22"/>
          <w:szCs w:val="22"/>
        </w:rPr>
        <w:t xml:space="preserve">Zadavatel ve vztahu k mezinárodním sankcím požaduje, aby každý účastník garantoval, že v případě výběru jeho nabídky, uzavření Smlouvy a plnění </w:t>
      </w:r>
      <w:r w:rsidR="00B865E9">
        <w:rPr>
          <w:rFonts w:asciiTheme="minorHAnsi" w:hAnsiTheme="minorHAnsi" w:cs="Arial"/>
          <w:sz w:val="22"/>
          <w:szCs w:val="22"/>
        </w:rPr>
        <w:t>V</w:t>
      </w:r>
      <w:r w:rsidRPr="00AC394D">
        <w:rPr>
          <w:rFonts w:asciiTheme="minorHAnsi" w:hAnsiTheme="minorHAnsi" w:cs="Arial"/>
          <w:sz w:val="22"/>
          <w:szCs w:val="22"/>
        </w:rPr>
        <w:t>eřejné zakázky, nedojde k porušení právních předpisů a rozhodnutí upravujících mezinárodní sankce, kterými jsou Česká republika nebo Zadavatel vázáni. Skutečnost, že dodavatel neporušuje tyto normy prokáže dodavatel předložením čestného prohlášení ve své nabídce, jehož vzor tvoří přílohu č. 7 Zadávací dokumentace.</w:t>
      </w:r>
    </w:p>
    <w:p w14:paraId="15B68324" w14:textId="77777777" w:rsidR="00FF066F" w:rsidRPr="00ED4CA5" w:rsidRDefault="00FF066F" w:rsidP="00DA7226">
      <w:pPr>
        <w:pStyle w:val="Nadpis1"/>
      </w:pPr>
      <w:r w:rsidRPr="00ED4CA5">
        <w:t>FORMÁLNÍ POŽADAVKY NA ZPRACOVÁNÍ NABÍDKY</w:t>
      </w:r>
    </w:p>
    <w:p w14:paraId="15D1B733" w14:textId="77777777" w:rsidR="00FF066F" w:rsidRPr="00F21D16" w:rsidRDefault="00FF066F" w:rsidP="00DA7226">
      <w:pPr>
        <w:pStyle w:val="Nadpis2"/>
        <w:ind w:left="851" w:hanging="851"/>
      </w:pPr>
      <w:r>
        <w:t xml:space="preserve">Formální požadavky na zpracování nabídky </w:t>
      </w:r>
    </w:p>
    <w:p w14:paraId="296DDF11" w14:textId="304A1659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8" w:name="_Hlk51233203"/>
      <w:r w:rsidRPr="00062BA3">
        <w:rPr>
          <w:rFonts w:eastAsia="Times New Roman" w:cs="Arial"/>
          <w:bCs/>
          <w:lang w:eastAsia="cs-CZ"/>
        </w:rPr>
        <w:lastRenderedPageBreak/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9" w:name="_Hlk51233192"/>
      <w:bookmarkEnd w:id="8"/>
      <w:r w:rsidRPr="00762E52">
        <w:rPr>
          <w:rFonts w:eastAsia="Times New Roman" w:cs="Arial"/>
          <w:bCs/>
          <w:lang w:eastAsia="cs-CZ"/>
        </w:rPr>
        <w:t xml:space="preserve">Předloží-li dodavatel některé z dokladů (dokumentů) v cizím jazyce, je povinen předložit zároveň s nimi i prostý překlad dokladu do českého jazyka. Dokumenty ve slovenském jazyce </w:t>
      </w:r>
      <w:r w:rsidR="001C38AF">
        <w:rPr>
          <w:rFonts w:eastAsia="Times New Roman" w:cs="Arial"/>
          <w:bCs/>
          <w:lang w:eastAsia="cs-CZ"/>
        </w:rPr>
        <w:t>a dok</w:t>
      </w:r>
      <w:r w:rsidR="00CD24AA">
        <w:rPr>
          <w:rFonts w:eastAsia="Times New Roman" w:cs="Arial"/>
          <w:bCs/>
          <w:lang w:eastAsia="cs-CZ"/>
        </w:rPr>
        <w:t xml:space="preserve">lady o vzdělání v latinském jazyce </w:t>
      </w:r>
      <w:r w:rsidRPr="00762E52">
        <w:rPr>
          <w:rFonts w:eastAsia="Times New Roman" w:cs="Arial"/>
          <w:bCs/>
          <w:lang w:eastAsia="cs-CZ"/>
        </w:rPr>
        <w:t>mohou být předloženy bez překladu.</w:t>
      </w:r>
      <w:bookmarkEnd w:id="9"/>
    </w:p>
    <w:p w14:paraId="77136A36" w14:textId="5A1AF7D0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Takový odkaz musí obsahovat internetovou adresu a údaje pro přihlášení </w:t>
      </w:r>
      <w:r w:rsidR="008010EF">
        <w:rPr>
          <w:rFonts w:eastAsia="Times New Roman" w:cs="Arial"/>
          <w:bCs/>
          <w:lang w:eastAsia="cs-CZ"/>
        </w:rPr>
        <w:br/>
      </w:r>
      <w:r w:rsidRPr="00B16E83">
        <w:rPr>
          <w:rFonts w:eastAsia="Times New Roman" w:cs="Arial"/>
          <w:bCs/>
          <w:lang w:eastAsia="cs-CZ"/>
        </w:rPr>
        <w:t>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00222854" w14:textId="06B555FD" w:rsidR="002F7267" w:rsidRPr="00852B05" w:rsidRDefault="0093366C" w:rsidP="002F7267">
      <w:pPr>
        <w:spacing w:before="120"/>
      </w:pPr>
      <w:r w:rsidRPr="0093366C">
        <w:rPr>
          <w:bCs/>
        </w:rPr>
        <w:t>Dodavatel podá nabídku elektronicky, prostřednictvím elektronického nástroje Zadavatele</w:t>
      </w:r>
      <w:r>
        <w:rPr>
          <w:bCs/>
        </w:rPr>
        <w:t>.</w:t>
      </w:r>
    </w:p>
    <w:p w14:paraId="46B02BAA" w14:textId="77777777" w:rsidR="00FF066F" w:rsidRPr="005F6F69" w:rsidRDefault="00FF066F" w:rsidP="00DA7226">
      <w:pPr>
        <w:pStyle w:val="Nadpis2"/>
        <w:ind w:left="851" w:hanging="851"/>
      </w:pPr>
      <w:bookmarkStart w:id="10" w:name="_Ref18578206"/>
      <w:r w:rsidRPr="005F6F69">
        <w:t>Požadavky na členění nabídky</w:t>
      </w:r>
      <w:bookmarkEnd w:id="10"/>
    </w:p>
    <w:p w14:paraId="6F87F0CC" w14:textId="28BE963A" w:rsidR="00FF066F" w:rsidRPr="00713C77" w:rsidRDefault="0093366C" w:rsidP="00FF066F">
      <w:pPr>
        <w:keepNext/>
        <w:shd w:val="clear" w:color="auto" w:fill="FFFFFF"/>
        <w:spacing w:before="120" w:after="0"/>
        <w:rPr>
          <w:rFonts w:cs="Calibri"/>
        </w:rPr>
      </w:pPr>
      <w:r w:rsidRPr="0093366C">
        <w:rPr>
          <w:rFonts w:cs="Calibri"/>
        </w:rPr>
        <w:t>Dodavatel podá nabídku s tímto doporučeným členěním (tj. řazením příloh v elektronickém nástroji JOSEPHINE)</w:t>
      </w:r>
      <w:r w:rsidR="00FF066F" w:rsidRPr="00713C77">
        <w:rPr>
          <w:rFonts w:cs="Calibri"/>
        </w:rPr>
        <w:t>:</w:t>
      </w:r>
    </w:p>
    <w:p w14:paraId="7C9E7162" w14:textId="2C24C9C2" w:rsidR="00F80248" w:rsidRPr="0098741B" w:rsidRDefault="0093745A" w:rsidP="00DA7226">
      <w:pPr>
        <w:pStyle w:val="Odrky"/>
      </w:pPr>
      <w:r w:rsidRPr="0098741B">
        <w:t>Krycí list nabídky dle přílohy č. 1 Zadávací dokumentace</w:t>
      </w:r>
      <w:r w:rsidR="00F80248" w:rsidRPr="0098741B">
        <w:t xml:space="preserve"> vč. uvedení nabídkové ceny</w:t>
      </w:r>
      <w:r w:rsidRPr="0098741B">
        <w:t>;</w:t>
      </w:r>
    </w:p>
    <w:p w14:paraId="0D72E758" w14:textId="631B49EB" w:rsidR="00012137" w:rsidRPr="0098741B" w:rsidRDefault="00FF2504" w:rsidP="00DA7226">
      <w:pPr>
        <w:pStyle w:val="Odrky"/>
      </w:pPr>
      <w:r>
        <w:t>Návrh smlouvy</w:t>
      </w:r>
      <w:r w:rsidR="00AF5659">
        <w:t xml:space="preserve"> dodavatele;</w:t>
      </w:r>
    </w:p>
    <w:p w14:paraId="677CA21F" w14:textId="303318A6" w:rsidR="005F6F69" w:rsidRPr="0098741B" w:rsidRDefault="005F6F69" w:rsidP="00DA7226">
      <w:pPr>
        <w:pStyle w:val="Odrky"/>
      </w:pPr>
      <w:r w:rsidRPr="0098741B">
        <w:t>Seznam poddodavatelského plnění dle přílohy č. 4 Zadávací dokumentace, pokud je relevantní;</w:t>
      </w:r>
    </w:p>
    <w:p w14:paraId="699F3075" w14:textId="3DEDF6B1" w:rsidR="005F6F69" w:rsidRPr="0098741B" w:rsidRDefault="005F6F69" w:rsidP="00DA7226">
      <w:pPr>
        <w:pStyle w:val="Odrky"/>
      </w:pPr>
      <w:r w:rsidRPr="0098741B">
        <w:t>Čestné prohlášení o splnění kvalifikace dle přílohy č. 5 Zadávací dokumentace;</w:t>
      </w:r>
    </w:p>
    <w:p w14:paraId="68515BBF" w14:textId="4F0B4162" w:rsidR="0093745A" w:rsidRPr="0098741B" w:rsidRDefault="0093745A" w:rsidP="00DA7226">
      <w:pPr>
        <w:pStyle w:val="Odrky"/>
      </w:pPr>
      <w:r w:rsidRPr="0098741B">
        <w:t xml:space="preserve">Čestné prohlášení ve vztahu k mezinárodním sankcím dle přílohy č. </w:t>
      </w:r>
      <w:r w:rsidR="0098741B" w:rsidRPr="0098741B">
        <w:t>7</w:t>
      </w:r>
      <w:r w:rsidRPr="0098741B">
        <w:t xml:space="preserve"> Zadávací dokumentace;</w:t>
      </w:r>
    </w:p>
    <w:p w14:paraId="28EA3FDF" w14:textId="1C7AB330" w:rsidR="00FF066F" w:rsidRPr="0098741B" w:rsidRDefault="00FF066F" w:rsidP="00DA7226">
      <w:pPr>
        <w:pStyle w:val="Odrky"/>
        <w:rPr>
          <w:rFonts w:cs="Calibri"/>
        </w:rPr>
      </w:pPr>
      <w:r w:rsidRPr="0098741B">
        <w:t>Rozdělení odpovědnosti v případě podání společné nabídky, pokud je relevantní</w:t>
      </w:r>
      <w:r w:rsidRPr="0098741B">
        <w:rPr>
          <w:rFonts w:cs="Calibri"/>
        </w:rPr>
        <w:t>;</w:t>
      </w:r>
    </w:p>
    <w:p w14:paraId="3DA11678" w14:textId="0C5B2BAA" w:rsidR="00FF066F" w:rsidRPr="0098741B" w:rsidRDefault="005F6F69" w:rsidP="00DA7226">
      <w:pPr>
        <w:pStyle w:val="Odrky"/>
        <w:rPr>
          <w:rFonts w:eastAsia="Times New Roman"/>
          <w:bCs/>
          <w:lang w:eastAsia="cs-CZ"/>
        </w:rPr>
      </w:pPr>
      <w:r w:rsidRPr="0098741B">
        <w:rPr>
          <w:rFonts w:cs="Calibri"/>
        </w:rPr>
        <w:t>Další p</w:t>
      </w:r>
      <w:r w:rsidR="00FF066F" w:rsidRPr="0098741B">
        <w:rPr>
          <w:rFonts w:cs="Calibri"/>
        </w:rPr>
        <w:t>řílohy (nepovinné).</w:t>
      </w:r>
      <w:r w:rsidR="00B547E6" w:rsidRPr="0098741B">
        <w:rPr>
          <w:rFonts w:cs="Calibri"/>
        </w:rPr>
        <w:tab/>
      </w:r>
    </w:p>
    <w:p w14:paraId="53EB8740" w14:textId="77777777" w:rsidR="00B547E6" w:rsidRPr="008010EF" w:rsidRDefault="00B547E6" w:rsidP="00DA7226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DA7226">
      <w:pPr>
        <w:pStyle w:val="Nadpis2"/>
        <w:ind w:left="851" w:hanging="851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DA7226">
      <w:pPr>
        <w:pStyle w:val="Nadpis2"/>
        <w:ind w:left="851" w:hanging="851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2501F3CD" w14:textId="269D7BAC" w:rsidR="0093745A" w:rsidRDefault="0093745A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1" w:name="_Hlk51232271"/>
      <w:r w:rsidRPr="0093745A">
        <w:rPr>
          <w:sz w:val="22"/>
          <w:lang w:eastAsia="cs-CZ"/>
        </w:rPr>
        <w:t xml:space="preserve">Nabídku podá dodavatel výhradně prostřednictvím elektronického nástroje JOSEPHINE, který splňuje podmínky § 213 ZZVZ a je dostupný na internetové adrese </w:t>
      </w:r>
      <w:hyperlink r:id="rId13" w:history="1">
        <w:r w:rsidRPr="0093745A">
          <w:rPr>
            <w:rStyle w:val="Hypertextovodkaz"/>
            <w:sz w:val="22"/>
            <w:lang w:eastAsia="cs-CZ"/>
          </w:rPr>
          <w:t>http://josephine.proebiz.com</w:t>
        </w:r>
      </w:hyperlink>
      <w:r w:rsidR="00B547E6" w:rsidRPr="00A21BDE">
        <w:rPr>
          <w:sz w:val="22"/>
          <w:lang w:eastAsia="cs-CZ"/>
        </w:rPr>
        <w:t xml:space="preserve">. </w:t>
      </w:r>
    </w:p>
    <w:p w14:paraId="47672696" w14:textId="3C28C762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r w:rsidRPr="00A21BDE">
        <w:rPr>
          <w:sz w:val="22"/>
          <w:lang w:eastAsia="cs-CZ"/>
        </w:rPr>
        <w:t xml:space="preserve">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7751AB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1A1068C4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 xml:space="preserve">Podrobné instrukce pro podání nabídky prostřednictvím elektronického nástroje nalezne </w:t>
      </w:r>
      <w:r w:rsidRPr="004A2200">
        <w:rPr>
          <w:rFonts w:eastAsia="Times New Roman" w:cs="Arial"/>
          <w:bCs/>
          <w:lang w:eastAsia="cs-CZ"/>
        </w:rPr>
        <w:t>dodavatel v </w:t>
      </w:r>
      <w:r w:rsidRPr="004A2200">
        <w:rPr>
          <w:rFonts w:eastAsia="Times New Roman" w:cs="Arial"/>
          <w:bCs/>
        </w:rPr>
        <w:t>příloze č.</w:t>
      </w:r>
      <w:r w:rsidR="004C74C1" w:rsidRPr="004A2200">
        <w:rPr>
          <w:rFonts w:eastAsia="Times New Roman" w:cs="Arial"/>
          <w:bCs/>
        </w:rPr>
        <w:t> </w:t>
      </w:r>
      <w:r w:rsidR="008320F8" w:rsidRPr="004A2200">
        <w:rPr>
          <w:rFonts w:eastAsia="Times New Roman" w:cs="Arial"/>
          <w:bCs/>
        </w:rPr>
        <w:t>6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47497EDA" w14:textId="7777777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52E7EDB7" w14:textId="77777777" w:rsidR="00A410A0" w:rsidRPr="00A410A0" w:rsidRDefault="00A410A0" w:rsidP="00A410A0">
      <w:pPr>
        <w:shd w:val="clear" w:color="auto" w:fill="FFFFFF"/>
        <w:spacing w:before="120"/>
        <w:rPr>
          <w:rFonts w:cs="Calibri"/>
          <w:b/>
          <w:bCs/>
        </w:rPr>
      </w:pPr>
      <w:r w:rsidRPr="00A410A0">
        <w:rPr>
          <w:rFonts w:cs="Calibri"/>
          <w:b/>
          <w:bCs/>
        </w:rPr>
        <w:t>Lhůta pro podání nabídek končí dnem uvedeným v uveřejněném Oznámení o zahájení zadávacího řízení ve Věstníku veřejných zakázek.</w:t>
      </w:r>
    </w:p>
    <w:p w14:paraId="26976B4F" w14:textId="77777777" w:rsidR="00A410A0" w:rsidRPr="00A410A0" w:rsidRDefault="00A410A0" w:rsidP="00A410A0">
      <w:pPr>
        <w:shd w:val="clear" w:color="auto" w:fill="FFFFFF"/>
        <w:spacing w:before="120"/>
        <w:rPr>
          <w:rFonts w:cs="Calibri"/>
          <w:bCs/>
        </w:rPr>
      </w:pPr>
      <w:r w:rsidRPr="00A410A0">
        <w:rPr>
          <w:rFonts w:cs="Calibri"/>
          <w:b/>
          <w:bCs/>
        </w:rPr>
        <w:t>Všechny nabídky musí být doručeny Zadavateli před skončením lhůty pro podání nabídek.</w:t>
      </w:r>
    </w:p>
    <w:p w14:paraId="63B2A258" w14:textId="1E6CDDEF" w:rsidR="008E720D" w:rsidRPr="008973B9" w:rsidRDefault="00A410A0" w:rsidP="00A410A0">
      <w:pPr>
        <w:shd w:val="clear" w:color="auto" w:fill="FFFFFF"/>
        <w:spacing w:before="120"/>
        <w:rPr>
          <w:rFonts w:cs="Calibri"/>
        </w:rPr>
      </w:pPr>
      <w:r w:rsidRPr="00A410A0">
        <w:rPr>
          <w:rFonts w:cs="Calibri"/>
          <w:bCs/>
        </w:rPr>
        <w:lastRenderedPageBreak/>
        <w:t>Pokud nebude nabídka Zadavateli doručena ve lhůtě nebo způsobem stanoveným v Zadávací dokumentaci, nepovažuje se za podanou a v průběhu Zadávacího řízení se k ní nepřihlíží</w:t>
      </w:r>
      <w:r>
        <w:rPr>
          <w:rFonts w:cs="Calibri"/>
          <w:bCs/>
        </w:rPr>
        <w:t>.</w:t>
      </w:r>
    </w:p>
    <w:bookmarkEnd w:id="11"/>
    <w:p w14:paraId="4BBFA1C4" w14:textId="77777777" w:rsidR="00B547E6" w:rsidRPr="00594FB3" w:rsidRDefault="00B547E6" w:rsidP="00DA7226">
      <w:pPr>
        <w:pStyle w:val="Nadpis2"/>
        <w:ind w:left="851" w:hanging="851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518ACFC4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555176DE" w14:textId="4219A402" w:rsidR="00A410A0" w:rsidRDefault="00A410A0" w:rsidP="00B547E6">
      <w:pPr>
        <w:rPr>
          <w:rFonts w:cs="Calibri"/>
        </w:rPr>
      </w:pPr>
      <w:r w:rsidRPr="00A410A0">
        <w:rPr>
          <w:rFonts w:cs="Calibri"/>
        </w:rPr>
        <w:t>Zadavatel kontroluje při otevírání nabídek v elektronické podobě, zda nabídka byla doručena ve stanovené lhůtě, zda je autentická a zda s datovou zprávou obsahující nabídku nebylo před jejím otevřením manipulováno</w:t>
      </w:r>
      <w:r>
        <w:rPr>
          <w:rFonts w:cs="Calibri"/>
        </w:rPr>
        <w:t>.</w:t>
      </w:r>
    </w:p>
    <w:p w14:paraId="426FB665" w14:textId="77777777" w:rsidR="00B547E6" w:rsidRPr="00594FB3" w:rsidRDefault="00B547E6" w:rsidP="00DA7226">
      <w:pPr>
        <w:pStyle w:val="Nadpis2"/>
        <w:ind w:left="851" w:hanging="851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49406E36" w:rsidR="00B547E6" w:rsidRPr="006C0144" w:rsidRDefault="00A410A0" w:rsidP="00E20E5E">
      <w:pPr>
        <w:rPr>
          <w:rFonts w:cs="Arial"/>
        </w:rPr>
      </w:pPr>
      <w:r w:rsidRPr="00A410A0">
        <w:rPr>
          <w:rFonts w:eastAsia="Times New Roman" w:cs="Arial"/>
          <w:bCs/>
          <w:lang w:eastAsia="cs-CZ"/>
        </w:rPr>
        <w:t>Účastníci mohou na Veřejnou zakázku podat pouze jednu nabídku, a to bez ohledu na to, zda tak činí samostatně nebo společně s jinými účastníky (společná nabídka). Dodavatel, který podal nabídku v Zadávacím řízení, nesmí být současně osobou, jejímž prostřednictvím jiný dodavatel v Zadávacím řízení prokazuje kvalifikaci. V případě porušení těchto povinností Zadavatel přistoupí k vyloučení účastníka ze Zadávacího řízení.</w:t>
      </w:r>
    </w:p>
    <w:p w14:paraId="5A4E927D" w14:textId="7FEBAC02" w:rsidR="00B547E6" w:rsidRDefault="00B547E6" w:rsidP="00DA7226">
      <w:pPr>
        <w:pStyle w:val="Nadpis1"/>
      </w:pPr>
      <w:r w:rsidRPr="00B547E6">
        <w:t>VYSVĚTLENÍ ZADÁVACÍ DOKUMENTACE</w:t>
      </w:r>
    </w:p>
    <w:p w14:paraId="0F32CEC7" w14:textId="24D0F166" w:rsidR="00A410A0" w:rsidRDefault="00A410A0" w:rsidP="00A410A0">
      <w:r w:rsidRPr="00A410A0">
        <w:t xml:space="preserve">V souladu s § 98 ZZVZ mohou dodavatelé požádat o vysvětlení Zadávací dokumentace. Zadavatel může Zadávací dokumentaci vysvětlit i bez předchozí žádosti. Dodavatelé mohou podávat své písemné žádosti o vysvětlení zadávací dokumentace </w:t>
      </w:r>
      <w:r w:rsidRPr="00A410A0">
        <w:rPr>
          <w:b/>
          <w:bCs/>
        </w:rPr>
        <w:t>výhradně písemně v elektronické podobě</w:t>
      </w:r>
      <w:r w:rsidRPr="00A410A0">
        <w:t xml:space="preserve">, a to nejlépe prostřednictvím elektronického nástroje „JOSEPHINE“ dostupného na internetové adrese </w:t>
      </w:r>
      <w:hyperlink r:id="rId14" w:history="1">
        <w:r w:rsidRPr="000606CE">
          <w:rPr>
            <w:rStyle w:val="Hypertextovodkaz"/>
          </w:rPr>
          <w:t>josephine.proebiz.com</w:t>
        </w:r>
      </w:hyperlink>
      <w:r w:rsidRPr="00A410A0">
        <w:t xml:space="preserve">, případně také datovou schránkou nebo e-mailem adresovaným zástupci Zadavatele v Zadávacím řízení, vymezenému v bodě </w:t>
      </w:r>
      <w:r w:rsidRPr="00A410A0">
        <w:fldChar w:fldCharType="begin"/>
      </w:r>
      <w:r w:rsidRPr="00A410A0">
        <w:instrText xml:space="preserve"> REF _Ref94207855 \r \h  \* MERGEFORMAT </w:instrText>
      </w:r>
      <w:r w:rsidRPr="00A410A0">
        <w:fldChar w:fldCharType="separate"/>
      </w:r>
      <w:r w:rsidRPr="00A410A0">
        <w:t>2.2</w:t>
      </w:r>
      <w:r w:rsidRPr="00A410A0">
        <w:fldChar w:fldCharType="end"/>
      </w:r>
      <w:r w:rsidRPr="00A410A0">
        <w:t xml:space="preserve"> Zadávací dokumentace</w:t>
      </w:r>
      <w:r>
        <w:t>.</w:t>
      </w:r>
    </w:p>
    <w:p w14:paraId="31B143A4" w14:textId="6D204442" w:rsidR="00A410A0" w:rsidRDefault="00A410A0" w:rsidP="00A410A0">
      <w:r w:rsidRPr="00A410A0">
        <w:t xml:space="preserve">Písemná žádost musí být Zadavateli doručena </w:t>
      </w:r>
      <w:r w:rsidRPr="00A410A0">
        <w:rPr>
          <w:b/>
          <w:bCs/>
        </w:rPr>
        <w:t>nejpozději 8 pracovních dnů</w:t>
      </w:r>
      <w:r w:rsidRPr="00A410A0">
        <w:t xml:space="preserve"> před uplynutím lhůty pro podání nabídek. Pokud nebude žádost doručena v této lhůtě, není Zadavatel povinen vysvětlení poskytnout</w:t>
      </w:r>
      <w:r>
        <w:t>.</w:t>
      </w:r>
    </w:p>
    <w:p w14:paraId="09E798EF" w14:textId="10A37113" w:rsidR="00A410A0" w:rsidRPr="00A410A0" w:rsidRDefault="00A410A0" w:rsidP="00A410A0">
      <w:r w:rsidRPr="00A410A0">
        <w:t xml:space="preserve">Zadavatel vysvětlení Zadávací dokumentace, včetně přesného znění žádosti dodavatele, uveřejní stejným způsobem, jakým uveřejnil tuto Zadávací dokumentaci (tedy na profilu Zadavatele a v elektronickém nástroji JOSEPHINE) nejpozději </w:t>
      </w:r>
      <w:r w:rsidRPr="00A410A0">
        <w:rPr>
          <w:b/>
          <w:bCs/>
        </w:rPr>
        <w:t>do 3 pracovních dnů</w:t>
      </w:r>
      <w:r w:rsidRPr="00A410A0">
        <w:t xml:space="preserve"> po doručení písemné žádosti dodavatele</w:t>
      </w:r>
      <w:r>
        <w:t>.</w:t>
      </w:r>
    </w:p>
    <w:p w14:paraId="51386CBD" w14:textId="58F3458A" w:rsidR="00264773" w:rsidRPr="00B547E6" w:rsidRDefault="00264773" w:rsidP="00DA7226">
      <w:pPr>
        <w:pStyle w:val="Nadpis1"/>
      </w:pPr>
      <w:r>
        <w:t>DOKLADY PŘED UZAVŘENÍM SMLOUVY</w:t>
      </w:r>
    </w:p>
    <w:p w14:paraId="5AA6142A" w14:textId="592FE007" w:rsidR="00E20E5E" w:rsidRDefault="00E20E5E" w:rsidP="00DA7226">
      <w:pPr>
        <w:pStyle w:val="Nadpis2"/>
        <w:ind w:left="851" w:hanging="851"/>
        <w:rPr>
          <w:color w:val="000000"/>
        </w:rPr>
      </w:pPr>
      <w:r w:rsidRPr="009A3D49">
        <w:t>Doklady</w:t>
      </w:r>
      <w:r>
        <w:rPr>
          <w:color w:val="000000"/>
        </w:rPr>
        <w:t xml:space="preserve">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DE06F5">
      <w:pPr>
        <w:pStyle w:val="Nadpis2"/>
        <w:keepNext/>
        <w:ind w:left="851" w:hanging="851"/>
        <w:rPr>
          <w:color w:val="000000"/>
        </w:rPr>
      </w:pPr>
      <w:r>
        <w:lastRenderedPageBreak/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A410A0">
      <w:pPr>
        <w:pStyle w:val="text-nov"/>
        <w:spacing w:after="120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DA7226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DA7226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DA7226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DA7226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DA7226">
      <w:pPr>
        <w:pStyle w:val="slovn2"/>
      </w:pPr>
      <w:r>
        <w:t>R</w:t>
      </w:r>
      <w:r w:rsidRPr="000869D5">
        <w:t>ozhodnutí statutárního orgánu o vyplacení podílu na zisku,</w:t>
      </w:r>
    </w:p>
    <w:p w14:paraId="4AAB547E" w14:textId="566C4F1A" w:rsidR="00A410A0" w:rsidRDefault="00264773" w:rsidP="00DA7226">
      <w:pPr>
        <w:pStyle w:val="slovn2"/>
        <w:contextualSpacing w:val="0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72B48084" w14:textId="4B86A618" w:rsidR="004C51F1" w:rsidRPr="001B4FC6" w:rsidRDefault="00A410A0" w:rsidP="00A410A0">
      <w:pPr>
        <w:pStyle w:val="slovn2"/>
        <w:numPr>
          <w:ilvl w:val="0"/>
          <w:numId w:val="0"/>
        </w:numPr>
        <w:contextualSpacing w:val="0"/>
      </w:pPr>
      <w:r w:rsidRPr="00A410A0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 Česká právnická osoba tedy nemůže být Zadavatelem vyzvána k předložení dokladů dle § 122 odst. 5 ZZVZ</w:t>
      </w:r>
      <w:r w:rsidR="004C51F1" w:rsidRPr="004C51F1">
        <w:t>.</w:t>
      </w:r>
    </w:p>
    <w:p w14:paraId="6C17B97A" w14:textId="77777777" w:rsidR="00B547E6" w:rsidRPr="00B547E6" w:rsidRDefault="00B547E6" w:rsidP="00DA7226">
      <w:pPr>
        <w:pStyle w:val="Nadpis1"/>
      </w:pPr>
      <w:r>
        <w:t xml:space="preserve"> </w:t>
      </w:r>
      <w:r w:rsidRPr="00B547E6">
        <w:t>ZÁVĚREČNÁ USTANOVENÍ</w:t>
      </w:r>
    </w:p>
    <w:p w14:paraId="6533640C" w14:textId="77777777" w:rsidR="00B547E6" w:rsidRDefault="00B547E6" w:rsidP="00DA7226">
      <w:pPr>
        <w:pStyle w:val="Nadpis2"/>
        <w:ind w:left="851" w:hanging="851"/>
        <w:rPr>
          <w:color w:val="000000"/>
        </w:rPr>
      </w:pPr>
      <w:r>
        <w:t>Vyhrazená práva a další ustanovení</w:t>
      </w:r>
    </w:p>
    <w:p w14:paraId="1E664622" w14:textId="7D7B3761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</w:t>
      </w:r>
      <w:r w:rsidR="00F7128C">
        <w:rPr>
          <w:rFonts w:cs="Arial"/>
        </w:rPr>
        <w:t> Z</w:t>
      </w:r>
      <w:r w:rsidRPr="00122F9D">
        <w:rPr>
          <w:rFonts w:cs="Arial"/>
        </w:rPr>
        <w:t>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209BAAD4" w:rsidR="00B547E6" w:rsidRPr="00DD5531" w:rsidRDefault="00F7128C" w:rsidP="00DA7226">
      <w:pPr>
        <w:pStyle w:val="psemnodrky"/>
        <w:numPr>
          <w:ilvl w:val="0"/>
          <w:numId w:val="7"/>
        </w:numPr>
        <w:ind w:left="851"/>
      </w:pPr>
      <w:r w:rsidRPr="00F7128C">
        <w:t>právo upřesnit nebo změnit ve lhůtě pro podání nabídek zadávací podmínky Veřejné zakázky</w:t>
      </w:r>
      <w:r w:rsidR="00B547E6" w:rsidRPr="00DD5531">
        <w:t>;</w:t>
      </w:r>
    </w:p>
    <w:p w14:paraId="78991F37" w14:textId="2253AC91" w:rsidR="002923EB" w:rsidRDefault="002923EB" w:rsidP="00DA7226">
      <w:pPr>
        <w:pStyle w:val="psemnodrky"/>
      </w:pPr>
      <w:r>
        <w:t>zrušit zadávací řízení v souladu se ZZVZ;</w:t>
      </w:r>
    </w:p>
    <w:p w14:paraId="70A66104" w14:textId="1AAEA51F" w:rsidR="00B547E6" w:rsidRPr="00DD5531" w:rsidRDefault="00F7128C" w:rsidP="00DA7226">
      <w:pPr>
        <w:pStyle w:val="psemnodrky"/>
      </w:pPr>
      <w:r w:rsidRPr="00F7128C">
        <w:t>právo uveřejnit uzavřenou Smlouvu včetně jejích příloh a dodatků a skutečně uhrazené ceny na profilu Zadavatele v souladu s § 219 ZZVZ a uveřejnit uzavřenou Smlouvu včetně jejích příloh a dodatků a další dokumenty v Registru smluv, a to v souladu se zákonem č. 340/2015 Sb., o registru smluv, ve znění pozdějších předpisů</w:t>
      </w:r>
      <w:r w:rsidR="00B547E6" w:rsidRPr="00DD5531">
        <w:t>;</w:t>
      </w:r>
    </w:p>
    <w:p w14:paraId="39E4D921" w14:textId="1F0161AB" w:rsidR="00B547E6" w:rsidRPr="00DD5531" w:rsidRDefault="00F7128C" w:rsidP="00DA7226">
      <w:pPr>
        <w:pStyle w:val="psemnodrky"/>
      </w:pPr>
      <w:r w:rsidRPr="00F7128C">
        <w:t xml:space="preserve">právo vyloučit účastníky Zadávacího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</w:t>
      </w:r>
      <w:r w:rsidRPr="00F7128C">
        <w:lastRenderedPageBreak/>
        <w:t>obchodním rejstříku. Pokud z informací vedených v obchodním rejstříku vyplývá naplnění tohoto důvodu pro vyloučení, Zadavatel účastníka vyloučí ze Zadávacího řízení (s výjimkou § 48 odst. 10 ZZVZ</w:t>
      </w:r>
      <w:r>
        <w:t>)</w:t>
      </w:r>
      <w:r w:rsidR="00B547E6" w:rsidRPr="00DD5531">
        <w:t>;</w:t>
      </w:r>
    </w:p>
    <w:p w14:paraId="311D7010" w14:textId="5B86FF5D" w:rsidR="00F7128C" w:rsidRPr="00DD5531" w:rsidRDefault="00F7128C" w:rsidP="00DA7226">
      <w:pPr>
        <w:pStyle w:val="psemnodrky"/>
      </w:pPr>
      <w:bookmarkStart w:id="12" w:name="_Toc336123834"/>
      <w:bookmarkStart w:id="13" w:name="_Toc336204361"/>
      <w:bookmarkStart w:id="14" w:name="_Toc417051937"/>
      <w:bookmarkStart w:id="15" w:name="_Toc421037329"/>
      <w:bookmarkStart w:id="16" w:name="_Toc440404456"/>
      <w:bookmarkStart w:id="17" w:name="_Toc496803145"/>
      <w:bookmarkStart w:id="18" w:name="_Toc526266177"/>
      <w:bookmarkStart w:id="19" w:name="_Toc15986164"/>
      <w:bookmarkStart w:id="20" w:name="_Toc61777722"/>
      <w:bookmarkStart w:id="21" w:name="_Toc61777795"/>
      <w:r w:rsidRPr="00F7128C">
        <w:t>Zadavatel výslovně upozorňuje účastníky, že vybraný dodavatel je v souladu s § 2 písm. e) zákona č. 320/2001 Sb., o finanční kontrole, ve znění pozdějších předpisů, osobou povinnou spolupůsobit při výkonu finanční kontroly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.</w:t>
      </w:r>
    </w:p>
    <w:p w14:paraId="35718D1A" w14:textId="3BE2341F" w:rsidR="00B547E6" w:rsidRPr="00E4498D" w:rsidRDefault="00B547E6" w:rsidP="00DA7226">
      <w:pPr>
        <w:pStyle w:val="Nadpis1"/>
      </w:pPr>
      <w:r w:rsidRPr="00E4498D">
        <w:t>PŘÍLOHY ZADÁVACÍ DOKUMENTACE</w:t>
      </w:r>
    </w:p>
    <w:p w14:paraId="603EFA88" w14:textId="77777777" w:rsidR="00B547E6" w:rsidRPr="00A06979" w:rsidRDefault="00B547E6" w:rsidP="00F7128C">
      <w:pPr>
        <w:shd w:val="clear" w:color="auto" w:fill="FFFFFF"/>
        <w:rPr>
          <w:rFonts w:cs="Calibri"/>
        </w:rPr>
      </w:pPr>
      <w:r w:rsidRPr="00A06979">
        <w:rPr>
          <w:rFonts w:cs="Calibri"/>
        </w:rPr>
        <w:t>Nedílnou součást této Zadávací dokumentace tvoří následující přílohy:</w:t>
      </w:r>
    </w:p>
    <w:p w14:paraId="37BE97F6" w14:textId="6F9FD6F2" w:rsidR="00F7128C" w:rsidRPr="0008341F" w:rsidRDefault="00F7128C" w:rsidP="00DA7226">
      <w:pPr>
        <w:pStyle w:val="slovn"/>
        <w:numPr>
          <w:ilvl w:val="0"/>
          <w:numId w:val="9"/>
        </w:numPr>
        <w:spacing w:after="0"/>
        <w:ind w:left="851"/>
      </w:pPr>
      <w:bookmarkStart w:id="22" w:name="_Ref380758048"/>
      <w:r w:rsidRPr="0008341F">
        <w:t>Krycí list nabídky</w:t>
      </w:r>
    </w:p>
    <w:bookmarkEnd w:id="22"/>
    <w:p w14:paraId="1A80E255" w14:textId="615C8EFC" w:rsidR="00AF2A49" w:rsidRPr="0008341F" w:rsidRDefault="00AF2A49" w:rsidP="00DA7226">
      <w:pPr>
        <w:pStyle w:val="slovn"/>
        <w:spacing w:after="0"/>
      </w:pPr>
      <w:r w:rsidRPr="0008341F">
        <w:t xml:space="preserve">Seznam odběrných míst </w:t>
      </w:r>
      <w:r w:rsidR="0008341F" w:rsidRPr="0008341F">
        <w:t>pro dodávky elektřiny v hladině VN</w:t>
      </w:r>
    </w:p>
    <w:p w14:paraId="36E6352F" w14:textId="18168CEA" w:rsidR="0008341F" w:rsidRPr="0008341F" w:rsidRDefault="0008341F" w:rsidP="00DA7226">
      <w:pPr>
        <w:pStyle w:val="slovn"/>
        <w:spacing w:after="0"/>
      </w:pPr>
      <w:r w:rsidRPr="0008341F">
        <w:t>Seznam odběrných míst pro dodávky elektřiny v hladině NN</w:t>
      </w:r>
    </w:p>
    <w:p w14:paraId="05F18E1E" w14:textId="37F1CC02" w:rsidR="00D50B0F" w:rsidRPr="003F7E98" w:rsidRDefault="009B393E" w:rsidP="00DA7226">
      <w:pPr>
        <w:pStyle w:val="slovn"/>
        <w:spacing w:after="0"/>
      </w:pPr>
      <w:r w:rsidRPr="003F7E98">
        <w:rPr>
          <w:rFonts w:cs="Tahoma"/>
        </w:rPr>
        <w:t xml:space="preserve">Vzor seznamu </w:t>
      </w:r>
      <w:r w:rsidR="0082623C" w:rsidRPr="003F7E98">
        <w:rPr>
          <w:rFonts w:cs="Tahoma"/>
        </w:rPr>
        <w:t>poddodavatelského plnění</w:t>
      </w:r>
    </w:p>
    <w:p w14:paraId="42D5B342" w14:textId="224816E5" w:rsidR="00901C7A" w:rsidRPr="003F7E98" w:rsidRDefault="0082623C" w:rsidP="00DA7226">
      <w:pPr>
        <w:pStyle w:val="slovn"/>
        <w:spacing w:after="0"/>
      </w:pPr>
      <w:r w:rsidRPr="003F7E98">
        <w:rPr>
          <w:rFonts w:cs="Tahoma"/>
        </w:rPr>
        <w:t xml:space="preserve">Vzor </w:t>
      </w:r>
      <w:r w:rsidR="00DC4FE0" w:rsidRPr="003F7E98">
        <w:rPr>
          <w:rFonts w:cs="Tahoma"/>
        </w:rPr>
        <w:t xml:space="preserve">čestného prohlášení </w:t>
      </w:r>
      <w:r w:rsidR="00011F56" w:rsidRPr="003F7E98">
        <w:rPr>
          <w:rFonts w:cs="Tahoma"/>
        </w:rPr>
        <w:t>o splnění kvalifikace</w:t>
      </w:r>
    </w:p>
    <w:p w14:paraId="7C8F9A55" w14:textId="6719C5EE" w:rsidR="0082623C" w:rsidRPr="003F7E98" w:rsidRDefault="0082623C" w:rsidP="00DA7226">
      <w:pPr>
        <w:pStyle w:val="slovn"/>
        <w:spacing w:after="0"/>
      </w:pPr>
      <w:r w:rsidRPr="003F7E98">
        <w:t>Požadavky na elektronickou komunikaci JOSEPHINE</w:t>
      </w:r>
    </w:p>
    <w:p w14:paraId="1813D2AF" w14:textId="03E36937" w:rsidR="00F7128C" w:rsidRPr="008F3BDC" w:rsidRDefault="00F7128C" w:rsidP="00DA7226">
      <w:pPr>
        <w:pStyle w:val="slovn"/>
        <w:ind w:left="850" w:hanging="357"/>
        <w:contextualSpacing/>
      </w:pPr>
      <w:r w:rsidRPr="008F3BDC">
        <w:t>Čestné prohlášení ve vztahu k mezinárodním sankcím</w:t>
      </w:r>
    </w:p>
    <w:p w14:paraId="2A440283" w14:textId="4C86D7D8" w:rsidR="00B547E6" w:rsidRDefault="00B547E6" w:rsidP="00B547E6">
      <w:pPr>
        <w:spacing w:after="0" w:line="240" w:lineRule="auto"/>
        <w:rPr>
          <w:rFonts w:ascii="Calibri" w:eastAsia="Calibri" w:hAnsi="Calibri" w:cs="Arial"/>
        </w:rPr>
      </w:pPr>
    </w:p>
    <w:p w14:paraId="33B5EAB7" w14:textId="49128A4D" w:rsidR="00823779" w:rsidRDefault="00823779" w:rsidP="00B547E6">
      <w:pPr>
        <w:spacing w:after="0" w:line="240" w:lineRule="auto"/>
        <w:rPr>
          <w:rFonts w:ascii="Calibri" w:eastAsia="Calibri" w:hAnsi="Calibri" w:cs="Arial"/>
        </w:rPr>
      </w:pPr>
      <w:bookmarkStart w:id="23" w:name="_Hlk51231334"/>
      <w:bookmarkStart w:id="24" w:name="_Hlk51233900"/>
      <w:r>
        <w:rPr>
          <w:rFonts w:ascii="Calibri" w:eastAsia="Calibri" w:hAnsi="Calibri" w:cs="Arial"/>
        </w:rPr>
        <w:t xml:space="preserve">V Jablonci nad Nisou </w:t>
      </w:r>
      <w:bookmarkEnd w:id="23"/>
    </w:p>
    <w:bookmarkEnd w:id="24"/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0E211F07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5"/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66188E37" w:rsidR="00B547E6" w:rsidRPr="00C63C2D" w:rsidRDefault="00D72677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0A09945E" w:rsidR="00B547E6" w:rsidRPr="00C63C2D" w:rsidRDefault="008E720D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7A476623" w:rsidR="00F7128C" w:rsidRDefault="00F7128C" w:rsidP="0042325A">
      <w:pPr>
        <w:tabs>
          <w:tab w:val="left" w:pos="1575"/>
        </w:tabs>
        <w:spacing w:after="0" w:line="240" w:lineRule="auto"/>
      </w:pPr>
    </w:p>
    <w:p w14:paraId="70BAE737" w14:textId="77777777" w:rsidR="00F7128C" w:rsidRPr="00F7128C" w:rsidRDefault="00F7128C" w:rsidP="00F7128C">
      <w:pPr>
        <w:widowControl w:val="0"/>
        <w:jc w:val="left"/>
        <w:rPr>
          <w:rFonts w:cstheme="minorHAnsi"/>
          <w:b/>
          <w:bCs/>
        </w:rPr>
      </w:pPr>
      <w:r>
        <w:br w:type="page"/>
      </w:r>
      <w:r w:rsidRPr="00F7128C">
        <w:rPr>
          <w:rFonts w:cstheme="minorHAnsi"/>
          <w:b/>
          <w:bCs/>
        </w:rPr>
        <w:lastRenderedPageBreak/>
        <w:t>Příloha č. 1</w:t>
      </w:r>
    </w:p>
    <w:p w14:paraId="4D450EA8" w14:textId="77777777" w:rsidR="00F7128C" w:rsidRPr="00F7128C" w:rsidRDefault="00F7128C" w:rsidP="00F7128C">
      <w:pPr>
        <w:spacing w:before="360"/>
        <w:contextualSpacing/>
        <w:jc w:val="center"/>
        <w:rPr>
          <w:b/>
          <w:sz w:val="40"/>
        </w:rPr>
      </w:pPr>
      <w:r w:rsidRPr="00F7128C">
        <w:rPr>
          <w:b/>
          <w:sz w:val="40"/>
        </w:rPr>
        <w:t>KRYCÍ LIST NABÍDKY</w:t>
      </w:r>
      <w:r w:rsidRPr="00F7128C">
        <w:rPr>
          <w:b/>
          <w:sz w:val="40"/>
          <w:vertAlign w:val="superscript"/>
        </w:rPr>
        <w:footnoteReference w:id="2"/>
      </w:r>
    </w:p>
    <w:p w14:paraId="6D502F9A" w14:textId="77777777" w:rsidR="00F7128C" w:rsidRPr="00F7128C" w:rsidRDefault="00F7128C" w:rsidP="00F7128C">
      <w:pPr>
        <w:jc w:val="center"/>
        <w:rPr>
          <w:rFonts w:eastAsia="Times New Roman" w:cs="Arial"/>
          <w:szCs w:val="24"/>
          <w:lang w:eastAsia="cs-CZ"/>
        </w:rPr>
      </w:pPr>
      <w:r w:rsidRPr="00F7128C">
        <w:rPr>
          <w:rFonts w:eastAsia="Times New Roman" w:cs="Arial"/>
          <w:szCs w:val="24"/>
          <w:lang w:eastAsia="cs-CZ"/>
        </w:rPr>
        <w:t xml:space="preserve">podané v řízení na veřejnou zakázku </w:t>
      </w:r>
    </w:p>
    <w:p w14:paraId="383F085A" w14:textId="378BA357" w:rsidR="00F7128C" w:rsidRPr="00F7128C" w:rsidRDefault="008C0F89" w:rsidP="0037093A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Dodávky elektrické energie na rok 2023</w:t>
      </w:r>
    </w:p>
    <w:p w14:paraId="653043A1" w14:textId="77777777" w:rsidR="00F7128C" w:rsidRPr="00F7128C" w:rsidRDefault="00F7128C" w:rsidP="00F7128C">
      <w:pPr>
        <w:tabs>
          <w:tab w:val="left" w:pos="1276"/>
        </w:tabs>
        <w:spacing w:before="240" w:after="0"/>
        <w:ind w:left="1276" w:hanging="1276"/>
        <w:rPr>
          <w:rFonts w:eastAsia="Times New Roman" w:cs="Arial"/>
          <w:b/>
          <w:lang w:eastAsia="cs-CZ"/>
        </w:rPr>
      </w:pPr>
      <w:r w:rsidRPr="00F7128C">
        <w:rPr>
          <w:rFonts w:eastAsia="Arial Unicode MS" w:cs="Arial"/>
          <w:b/>
          <w:lang w:eastAsia="cs-CZ"/>
        </w:rPr>
        <w:t>Zadavatel:</w:t>
      </w:r>
      <w:r w:rsidRPr="00F7128C">
        <w:rPr>
          <w:rFonts w:eastAsia="Arial Unicode MS" w:cs="Arial"/>
          <w:b/>
          <w:lang w:eastAsia="cs-CZ"/>
        </w:rPr>
        <w:tab/>
      </w:r>
      <w:r w:rsidRPr="00F7128C">
        <w:rPr>
          <w:rFonts w:eastAsia="Times New Roman" w:cs="Arial"/>
          <w:b/>
          <w:lang w:eastAsia="cs-CZ"/>
        </w:rPr>
        <w:t>Silnice LK a.s.</w:t>
      </w:r>
    </w:p>
    <w:p w14:paraId="079F56A7" w14:textId="77777777" w:rsidR="00F7128C" w:rsidRPr="00F7128C" w:rsidRDefault="00F7128C" w:rsidP="00F7128C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se sídlem:</w:t>
      </w:r>
      <w:r w:rsidRPr="00F7128C">
        <w:rPr>
          <w:rFonts w:eastAsia="Times New Roman" w:cs="Arial"/>
          <w:lang w:eastAsia="cs-CZ"/>
        </w:rPr>
        <w:tab/>
        <w:t>Jablonec nad Nisou, Československé armády 4805/24, PSČ 466 05</w:t>
      </w:r>
    </w:p>
    <w:p w14:paraId="06CBEC02" w14:textId="77777777" w:rsidR="00F7128C" w:rsidRPr="00F7128C" w:rsidRDefault="00F7128C" w:rsidP="00F7128C">
      <w:pPr>
        <w:tabs>
          <w:tab w:val="left" w:pos="1276"/>
        </w:tabs>
        <w:spacing w:after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>IČ:</w:t>
      </w:r>
      <w:r w:rsidRPr="00F7128C">
        <w:rPr>
          <w:rFonts w:eastAsia="Times New Roman" w:cs="Arial"/>
          <w:lang w:eastAsia="cs-CZ"/>
        </w:rPr>
        <w:tab/>
        <w:t>287 46 503</w:t>
      </w:r>
    </w:p>
    <w:p w14:paraId="5829CA10" w14:textId="77777777" w:rsidR="00F7128C" w:rsidRPr="00F7128C" w:rsidRDefault="00F7128C" w:rsidP="00F7128C">
      <w:pPr>
        <w:spacing w:before="18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Identifikační údaje účastníka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1B087E21" w14:textId="77777777" w:rsidTr="00690897">
        <w:tc>
          <w:tcPr>
            <w:tcW w:w="2977" w:type="dxa"/>
            <w:shd w:val="clear" w:color="auto" w:fill="auto"/>
            <w:vAlign w:val="center"/>
          </w:tcPr>
          <w:p w14:paraId="5639B0A3" w14:textId="77777777" w:rsidR="00F7128C" w:rsidRPr="00F7128C" w:rsidRDefault="00F7128C" w:rsidP="00F7128C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b/>
                <w:lang w:eastAsia="cs-CZ"/>
              </w:rPr>
              <w:t>Účastník:</w:t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7E3A3B79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4819EFCA" w14:textId="77777777" w:rsidTr="00690897">
        <w:tc>
          <w:tcPr>
            <w:tcW w:w="2977" w:type="dxa"/>
            <w:shd w:val="clear" w:color="auto" w:fill="auto"/>
            <w:vAlign w:val="center"/>
          </w:tcPr>
          <w:p w14:paraId="2FDB847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IČ:</w:t>
            </w:r>
          </w:p>
        </w:tc>
        <w:tc>
          <w:tcPr>
            <w:tcW w:w="6203" w:type="dxa"/>
            <w:shd w:val="clear" w:color="auto" w:fill="auto"/>
          </w:tcPr>
          <w:p w14:paraId="13769AB6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05B720ED" w14:textId="77777777" w:rsidTr="00690897">
        <w:tc>
          <w:tcPr>
            <w:tcW w:w="2977" w:type="dxa"/>
            <w:shd w:val="clear" w:color="auto" w:fill="auto"/>
            <w:vAlign w:val="center"/>
          </w:tcPr>
          <w:p w14:paraId="2610F0A6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DIČ:</w:t>
            </w:r>
          </w:p>
        </w:tc>
        <w:tc>
          <w:tcPr>
            <w:tcW w:w="6203" w:type="dxa"/>
            <w:shd w:val="clear" w:color="auto" w:fill="auto"/>
          </w:tcPr>
          <w:p w14:paraId="72ECE918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384892BD" w14:textId="77777777" w:rsidTr="00690897">
        <w:tc>
          <w:tcPr>
            <w:tcW w:w="2977" w:type="dxa"/>
            <w:shd w:val="clear" w:color="auto" w:fill="auto"/>
            <w:vAlign w:val="center"/>
          </w:tcPr>
          <w:p w14:paraId="5D76EA74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Sídlo:</w:t>
            </w:r>
          </w:p>
        </w:tc>
        <w:tc>
          <w:tcPr>
            <w:tcW w:w="6203" w:type="dxa"/>
            <w:shd w:val="clear" w:color="auto" w:fill="auto"/>
          </w:tcPr>
          <w:p w14:paraId="360D537C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48455884" w14:textId="77777777" w:rsidTr="00690897">
        <w:tc>
          <w:tcPr>
            <w:tcW w:w="2977" w:type="dxa"/>
            <w:shd w:val="clear" w:color="auto" w:fill="auto"/>
            <w:vAlign w:val="center"/>
          </w:tcPr>
          <w:p w14:paraId="53323C91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Zastoupený:</w:t>
            </w:r>
          </w:p>
        </w:tc>
        <w:tc>
          <w:tcPr>
            <w:tcW w:w="6203" w:type="dxa"/>
            <w:shd w:val="clear" w:color="auto" w:fill="auto"/>
          </w:tcPr>
          <w:p w14:paraId="494A73B2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363994ED" w14:textId="77777777" w:rsidTr="00690897">
        <w:tc>
          <w:tcPr>
            <w:tcW w:w="2977" w:type="dxa"/>
            <w:shd w:val="clear" w:color="auto" w:fill="auto"/>
            <w:vAlign w:val="center"/>
          </w:tcPr>
          <w:p w14:paraId="2761AC87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Zapsaný:</w:t>
            </w:r>
          </w:p>
        </w:tc>
        <w:tc>
          <w:tcPr>
            <w:tcW w:w="6203" w:type="dxa"/>
            <w:shd w:val="clear" w:color="auto" w:fill="auto"/>
          </w:tcPr>
          <w:p w14:paraId="69247216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467FC08C" w14:textId="77777777" w:rsidTr="00690897">
        <w:tc>
          <w:tcPr>
            <w:tcW w:w="2977" w:type="dxa"/>
            <w:shd w:val="clear" w:color="auto" w:fill="auto"/>
            <w:vAlign w:val="center"/>
          </w:tcPr>
          <w:p w14:paraId="5A132741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2BD5DCA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637B2E8C" w14:textId="77777777" w:rsidTr="00690897">
        <w:tc>
          <w:tcPr>
            <w:tcW w:w="2977" w:type="dxa"/>
            <w:shd w:val="clear" w:color="auto" w:fill="auto"/>
            <w:vAlign w:val="center"/>
          </w:tcPr>
          <w:p w14:paraId="2E0AA3AF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 xml:space="preserve">E-mail: </w:t>
            </w:r>
          </w:p>
        </w:tc>
        <w:tc>
          <w:tcPr>
            <w:tcW w:w="6203" w:type="dxa"/>
            <w:shd w:val="clear" w:color="auto" w:fill="auto"/>
          </w:tcPr>
          <w:p w14:paraId="69364ED5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56E95802" w14:textId="77777777" w:rsidTr="00690897">
        <w:tc>
          <w:tcPr>
            <w:tcW w:w="2977" w:type="dxa"/>
            <w:shd w:val="clear" w:color="auto" w:fill="auto"/>
            <w:vAlign w:val="center"/>
          </w:tcPr>
          <w:p w14:paraId="07B5A3A7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lang w:eastAsia="cs-CZ"/>
              </w:rPr>
              <w:t>Číslo bankovního účtu:</w:t>
            </w:r>
          </w:p>
        </w:tc>
        <w:tc>
          <w:tcPr>
            <w:tcW w:w="6203" w:type="dxa"/>
            <w:shd w:val="clear" w:color="auto" w:fill="auto"/>
          </w:tcPr>
          <w:p w14:paraId="5E53FBA2" w14:textId="77777777" w:rsidR="00F7128C" w:rsidRPr="00F7128C" w:rsidRDefault="00F7128C" w:rsidP="00F7128C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50E21C9E" w14:textId="77777777" w:rsidR="00F7128C" w:rsidRPr="00F7128C" w:rsidRDefault="00F7128C" w:rsidP="00F7128C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smluvních: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3A3BF729" w14:textId="77777777" w:rsidTr="00690897">
        <w:tc>
          <w:tcPr>
            <w:tcW w:w="2977" w:type="dxa"/>
            <w:shd w:val="clear" w:color="auto" w:fill="auto"/>
            <w:vAlign w:val="center"/>
          </w:tcPr>
          <w:p w14:paraId="0D70B5B7" w14:textId="77777777" w:rsidR="00F7128C" w:rsidRPr="00F7128C" w:rsidRDefault="00F7128C" w:rsidP="00F7128C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37F7D891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37F75064" w14:textId="77777777" w:rsidTr="00690897">
        <w:tc>
          <w:tcPr>
            <w:tcW w:w="2977" w:type="dxa"/>
            <w:shd w:val="clear" w:color="auto" w:fill="auto"/>
            <w:vAlign w:val="center"/>
          </w:tcPr>
          <w:p w14:paraId="2985BA7C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0A4FF1A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5055951E" w14:textId="77777777" w:rsidTr="00690897">
        <w:tc>
          <w:tcPr>
            <w:tcW w:w="2977" w:type="dxa"/>
            <w:shd w:val="clear" w:color="auto" w:fill="auto"/>
            <w:vAlign w:val="center"/>
          </w:tcPr>
          <w:p w14:paraId="25D3DE4D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C03FEDF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7E466D25" w14:textId="77777777" w:rsidR="00F7128C" w:rsidRPr="00F7128C" w:rsidRDefault="00F7128C" w:rsidP="00F7128C">
      <w:pPr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 xml:space="preserve">Osoba oprávněná jednat za účastníka ve věcech technických: 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6561620B" w14:textId="77777777" w:rsidTr="00690897">
        <w:tc>
          <w:tcPr>
            <w:tcW w:w="2977" w:type="dxa"/>
            <w:shd w:val="clear" w:color="auto" w:fill="auto"/>
            <w:vAlign w:val="center"/>
          </w:tcPr>
          <w:p w14:paraId="6ED62F0E" w14:textId="77777777" w:rsidR="00F7128C" w:rsidRPr="00F7128C" w:rsidRDefault="00F7128C" w:rsidP="00F7128C">
            <w:pPr>
              <w:spacing w:before="40" w:after="4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Jméno: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29D82DCA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69BF60B1" w14:textId="77777777" w:rsidTr="00690897">
        <w:tc>
          <w:tcPr>
            <w:tcW w:w="2977" w:type="dxa"/>
            <w:shd w:val="clear" w:color="auto" w:fill="auto"/>
            <w:vAlign w:val="center"/>
          </w:tcPr>
          <w:p w14:paraId="63FB1AA8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Telefon:</w:t>
            </w:r>
          </w:p>
        </w:tc>
        <w:tc>
          <w:tcPr>
            <w:tcW w:w="6203" w:type="dxa"/>
            <w:shd w:val="clear" w:color="auto" w:fill="auto"/>
          </w:tcPr>
          <w:p w14:paraId="333A96FE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  <w:tr w:rsidR="00F7128C" w:rsidRPr="00F7128C" w14:paraId="55A4E83E" w14:textId="77777777" w:rsidTr="00690897">
        <w:tc>
          <w:tcPr>
            <w:tcW w:w="2977" w:type="dxa"/>
            <w:shd w:val="clear" w:color="auto" w:fill="auto"/>
            <w:vAlign w:val="center"/>
          </w:tcPr>
          <w:p w14:paraId="6DED5F02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 xml:space="preserve">E-mail: </w:t>
            </w:r>
            <w:r w:rsidRPr="00F7128C">
              <w:rPr>
                <w:rFonts w:eastAsia="Times New Roman" w:cs="Arial"/>
                <w:lang w:eastAsia="cs-CZ"/>
              </w:rPr>
              <w:tab/>
            </w:r>
          </w:p>
        </w:tc>
        <w:tc>
          <w:tcPr>
            <w:tcW w:w="6203" w:type="dxa"/>
            <w:shd w:val="clear" w:color="auto" w:fill="auto"/>
          </w:tcPr>
          <w:p w14:paraId="4662C178" w14:textId="77777777" w:rsidR="00F7128C" w:rsidRPr="00F7128C" w:rsidRDefault="00F7128C" w:rsidP="00F7128C">
            <w:pPr>
              <w:spacing w:before="40" w:after="40" w:line="240" w:lineRule="auto"/>
              <w:rPr>
                <w:lang w:eastAsia="cs-CZ"/>
              </w:rPr>
            </w:pPr>
            <w:r w:rsidRPr="00F7128C">
              <w:rPr>
                <w:rFonts w:cstheme="minorHAnsi"/>
              </w:rPr>
              <w:t>[</w:t>
            </w:r>
            <w:r w:rsidRPr="00F7128C">
              <w:rPr>
                <w:rFonts w:cstheme="minorHAnsi"/>
                <w:highlight w:val="green"/>
              </w:rPr>
              <w:t>DOPLNÍ DODAVATEL</w:t>
            </w:r>
            <w:r w:rsidRPr="00F7128C">
              <w:rPr>
                <w:rFonts w:cstheme="minorHAnsi"/>
              </w:rPr>
              <w:t>]</w:t>
            </w:r>
          </w:p>
        </w:tc>
      </w:tr>
    </w:tbl>
    <w:p w14:paraId="326E6F96" w14:textId="77777777" w:rsidR="00F7128C" w:rsidRPr="00F7128C" w:rsidRDefault="00F7128C" w:rsidP="00F7128C">
      <w:pPr>
        <w:keepNext/>
        <w:spacing w:before="240" w:after="60"/>
        <w:outlineLvl w:val="1"/>
        <w:rPr>
          <w:b/>
          <w:sz w:val="24"/>
          <w:lang w:eastAsia="cs-CZ"/>
        </w:rPr>
      </w:pPr>
      <w:r w:rsidRPr="00F7128C">
        <w:rPr>
          <w:b/>
          <w:sz w:val="24"/>
          <w:lang w:eastAsia="cs-CZ"/>
        </w:rPr>
        <w:t>Účastník je považován za malý či střední podnik dle doporučení Komise 2003/361/ES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977"/>
        <w:gridCol w:w="6203"/>
      </w:tblGrid>
      <w:tr w:rsidR="00F7128C" w:rsidRPr="00F7128C" w14:paraId="51767A22" w14:textId="77777777" w:rsidTr="00690897">
        <w:tc>
          <w:tcPr>
            <w:tcW w:w="2977" w:type="dxa"/>
            <w:shd w:val="clear" w:color="auto" w:fill="auto"/>
            <w:vAlign w:val="center"/>
          </w:tcPr>
          <w:p w14:paraId="51BB97E5" w14:textId="77777777" w:rsidR="00F7128C" w:rsidRPr="00F7128C" w:rsidRDefault="00F7128C" w:rsidP="00F7128C">
            <w:pPr>
              <w:spacing w:before="60" w:after="60" w:line="240" w:lineRule="auto"/>
              <w:rPr>
                <w:b/>
                <w:lang w:eastAsia="cs-CZ"/>
              </w:rPr>
            </w:pPr>
            <w:r w:rsidRPr="00F7128C">
              <w:rPr>
                <w:rFonts w:eastAsia="Times New Roman" w:cs="Arial"/>
                <w:lang w:eastAsia="cs-CZ"/>
              </w:rPr>
              <w:t>Malý či střední podnik</w:t>
            </w:r>
            <w:r w:rsidRPr="00F7128C">
              <w:rPr>
                <w:rFonts w:eastAsia="Times New Roman" w:cs="Arial"/>
                <w:vertAlign w:val="superscript"/>
                <w:lang w:eastAsia="cs-CZ"/>
              </w:rPr>
              <w:footnoteReference w:id="3"/>
            </w:r>
          </w:p>
        </w:tc>
        <w:tc>
          <w:tcPr>
            <w:tcW w:w="6203" w:type="dxa"/>
            <w:shd w:val="clear" w:color="auto" w:fill="auto"/>
            <w:vAlign w:val="center"/>
          </w:tcPr>
          <w:p w14:paraId="24BF1432" w14:textId="77777777" w:rsidR="00F7128C" w:rsidRPr="00F7128C" w:rsidRDefault="00F7128C" w:rsidP="00F7128C">
            <w:pPr>
              <w:spacing w:before="60" w:after="6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highlight w:val="green"/>
                <w:lang w:eastAsia="cs-CZ"/>
              </w:rPr>
              <w:t>[ANO/NE]</w:t>
            </w:r>
            <w:r w:rsidRPr="00F7128C">
              <w:rPr>
                <w:rFonts w:eastAsia="Times New Roman" w:cs="Arial"/>
                <w:lang w:eastAsia="cs-CZ"/>
              </w:rPr>
              <w:t xml:space="preserve"> </w:t>
            </w:r>
          </w:p>
        </w:tc>
      </w:tr>
    </w:tbl>
    <w:p w14:paraId="3A12345E" w14:textId="63C9EDC3" w:rsidR="00CE111A" w:rsidRPr="00F7128C" w:rsidRDefault="005B5787" w:rsidP="00CE111A">
      <w:pPr>
        <w:keepNext/>
        <w:spacing w:before="240" w:after="60"/>
        <w:outlineLvl w:val="1"/>
        <w:rPr>
          <w:b/>
          <w:sz w:val="24"/>
          <w:lang w:eastAsia="cs-CZ"/>
        </w:rPr>
      </w:pPr>
      <w:r>
        <w:rPr>
          <w:b/>
          <w:sz w:val="24"/>
          <w:lang w:eastAsia="cs-CZ"/>
        </w:rPr>
        <w:lastRenderedPageBreak/>
        <w:t>Nabídková cena</w:t>
      </w: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5841"/>
        <w:gridCol w:w="3339"/>
      </w:tblGrid>
      <w:tr w:rsidR="00CE111A" w:rsidRPr="00F7128C" w14:paraId="6E088C87" w14:textId="77777777" w:rsidTr="003E4D42">
        <w:tc>
          <w:tcPr>
            <w:tcW w:w="5841" w:type="dxa"/>
            <w:shd w:val="clear" w:color="auto" w:fill="auto"/>
            <w:vAlign w:val="center"/>
          </w:tcPr>
          <w:p w14:paraId="676FD406" w14:textId="5455A97F" w:rsidR="00CE111A" w:rsidRPr="00F7128C" w:rsidRDefault="00B44810" w:rsidP="007940FA">
            <w:pPr>
              <w:spacing w:before="60" w:after="60" w:line="240" w:lineRule="auto"/>
              <w:rPr>
                <w:b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C</w:t>
            </w:r>
            <w:r w:rsidRPr="00326A38">
              <w:rPr>
                <w:rFonts w:ascii="Calibri" w:hAnsi="Calibri" w:cs="Calibri"/>
                <w:color w:val="000000"/>
              </w:rPr>
              <w:t xml:space="preserve">ena přičítacího koeficientu, který je </w:t>
            </w:r>
            <w:r w:rsidR="00272FEE">
              <w:rPr>
                <w:rFonts w:ascii="Calibri" w:hAnsi="Calibri" w:cs="Calibri"/>
                <w:color w:val="000000"/>
              </w:rPr>
              <w:t>shodný</w:t>
            </w:r>
            <w:r w:rsidRPr="00326A38">
              <w:rPr>
                <w:rFonts w:ascii="Calibri" w:hAnsi="Calibri" w:cs="Calibri"/>
                <w:color w:val="000000"/>
              </w:rPr>
              <w:t xml:space="preserve"> pro hladinu VN i NN, za dodávku 1</w:t>
            </w:r>
            <w:r>
              <w:rPr>
                <w:rFonts w:ascii="Calibri" w:hAnsi="Calibri" w:cs="Calibri"/>
                <w:color w:val="000000"/>
              </w:rPr>
              <w:t> </w:t>
            </w:r>
            <w:r w:rsidRPr="00326A38">
              <w:rPr>
                <w:rFonts w:ascii="Calibri" w:hAnsi="Calibri" w:cs="Calibri"/>
                <w:color w:val="000000"/>
              </w:rPr>
              <w:t>MWh silové elektřiny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339" w:type="dxa"/>
            <w:shd w:val="clear" w:color="auto" w:fill="auto"/>
            <w:vAlign w:val="center"/>
          </w:tcPr>
          <w:p w14:paraId="4825D27B" w14:textId="4D8F9400" w:rsidR="00CE111A" w:rsidRPr="00F7128C" w:rsidRDefault="00CE111A" w:rsidP="007940FA">
            <w:pPr>
              <w:spacing w:before="60" w:after="60" w:line="240" w:lineRule="auto"/>
              <w:rPr>
                <w:lang w:eastAsia="cs-CZ"/>
              </w:rPr>
            </w:pPr>
            <w:r w:rsidRPr="00F7128C">
              <w:rPr>
                <w:rFonts w:eastAsia="Times New Roman" w:cs="Arial"/>
                <w:highlight w:val="green"/>
                <w:lang w:eastAsia="cs-CZ"/>
              </w:rPr>
              <w:t>[</w:t>
            </w:r>
            <w:r w:rsidR="00937059">
              <w:rPr>
                <w:rFonts w:eastAsia="Times New Roman" w:cs="Arial"/>
                <w:highlight w:val="green"/>
                <w:lang w:eastAsia="cs-CZ"/>
              </w:rPr>
              <w:t>DOPLNÍ DODAVATEL</w:t>
            </w:r>
            <w:r w:rsidRPr="00F7128C">
              <w:rPr>
                <w:rFonts w:eastAsia="Times New Roman" w:cs="Arial"/>
                <w:highlight w:val="green"/>
                <w:lang w:eastAsia="cs-CZ"/>
              </w:rPr>
              <w:t>]</w:t>
            </w:r>
            <w:r w:rsidR="0004007F">
              <w:rPr>
                <w:rFonts w:eastAsia="Times New Roman" w:cs="Arial"/>
                <w:lang w:eastAsia="cs-CZ"/>
              </w:rPr>
              <w:t>,-</w:t>
            </w:r>
            <w:r w:rsidRPr="00F7128C">
              <w:rPr>
                <w:rFonts w:eastAsia="Times New Roman" w:cs="Arial"/>
                <w:lang w:eastAsia="cs-CZ"/>
              </w:rPr>
              <w:t xml:space="preserve"> </w:t>
            </w:r>
            <w:r w:rsidR="000B28E3" w:rsidRPr="00937059">
              <w:rPr>
                <w:rFonts w:eastAsia="Times New Roman" w:cs="Arial"/>
                <w:lang w:eastAsia="cs-CZ"/>
              </w:rPr>
              <w:t xml:space="preserve">Kč </w:t>
            </w:r>
            <w:r w:rsidR="0004007F" w:rsidRPr="00937059">
              <w:rPr>
                <w:rFonts w:eastAsia="Times New Roman" w:cs="Arial"/>
                <w:lang w:eastAsia="cs-CZ"/>
              </w:rPr>
              <w:t>bez DPH</w:t>
            </w:r>
          </w:p>
        </w:tc>
      </w:tr>
    </w:tbl>
    <w:p w14:paraId="11A53AF7" w14:textId="77777777" w:rsidR="00CE111A" w:rsidRDefault="00CE111A" w:rsidP="00F7128C">
      <w:pPr>
        <w:widowControl w:val="0"/>
        <w:autoSpaceDE w:val="0"/>
        <w:autoSpaceDN w:val="0"/>
        <w:adjustRightInd w:val="0"/>
        <w:spacing w:before="120"/>
        <w:outlineLvl w:val="0"/>
        <w:rPr>
          <w:b/>
          <w:bCs/>
          <w:sz w:val="24"/>
          <w:szCs w:val="24"/>
          <w:lang w:eastAsia="cs-CZ"/>
        </w:rPr>
      </w:pPr>
    </w:p>
    <w:p w14:paraId="657473F8" w14:textId="29FAB2AC" w:rsidR="00F7128C" w:rsidRPr="00F7128C" w:rsidRDefault="00F7128C" w:rsidP="00F7128C">
      <w:pPr>
        <w:widowControl w:val="0"/>
        <w:autoSpaceDE w:val="0"/>
        <w:autoSpaceDN w:val="0"/>
        <w:adjustRightInd w:val="0"/>
        <w:spacing w:before="120"/>
        <w:outlineLvl w:val="0"/>
        <w:rPr>
          <w:rFonts w:eastAsia="Times New Roman" w:cs="Arial"/>
          <w:b/>
          <w:bCs/>
          <w:sz w:val="24"/>
          <w:szCs w:val="24"/>
          <w:lang w:eastAsia="cs-CZ"/>
        </w:rPr>
      </w:pPr>
      <w:r w:rsidRPr="00F7128C">
        <w:rPr>
          <w:b/>
          <w:bCs/>
          <w:sz w:val="24"/>
          <w:szCs w:val="24"/>
          <w:lang w:eastAsia="cs-CZ"/>
        </w:rPr>
        <w:t>Prohlášení účastníka</w:t>
      </w:r>
    </w:p>
    <w:p w14:paraId="3F91CFBB" w14:textId="75990335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b/>
          <w:i/>
          <w:iCs/>
          <w:lang w:eastAsia="cs-CZ"/>
        </w:rPr>
      </w:pPr>
      <w:r w:rsidRPr="00F7128C">
        <w:rPr>
          <w:rFonts w:eastAsia="Times New Roman" w:cs="Arial"/>
          <w:lang w:eastAsia="cs-CZ"/>
        </w:rPr>
        <w:t xml:space="preserve">Podáním své nabídky prohlašujeme, že jsme se seznámili se zněním </w:t>
      </w:r>
      <w:r w:rsidR="00507C74"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 xml:space="preserve">adávací dokumentace na </w:t>
      </w:r>
      <w:r w:rsidR="00181F82">
        <w:rPr>
          <w:rFonts w:eastAsia="Times New Roman" w:cs="Arial"/>
          <w:lang w:eastAsia="cs-CZ"/>
        </w:rPr>
        <w:t>V</w:t>
      </w:r>
      <w:r w:rsidRPr="00F7128C">
        <w:rPr>
          <w:rFonts w:eastAsia="Times New Roman" w:cs="Arial"/>
          <w:lang w:eastAsia="cs-CZ"/>
        </w:rPr>
        <w:t xml:space="preserve">eřejnou zakázku s názvem </w:t>
      </w:r>
      <w:r w:rsidRPr="00F7128C">
        <w:rPr>
          <w:rFonts w:eastAsia="Times New Roman" w:cs="Arial"/>
          <w:i/>
          <w:iCs/>
          <w:lang w:eastAsia="cs-CZ"/>
        </w:rPr>
        <w:t>„</w:t>
      </w:r>
      <w:r w:rsidR="00507C74">
        <w:rPr>
          <w:rFonts w:eastAsia="Times New Roman" w:cs="Arial"/>
          <w:b/>
          <w:i/>
          <w:iCs/>
          <w:lang w:eastAsia="cs-CZ"/>
        </w:rPr>
        <w:t>Dodávky elektrické energie na rok 2023</w:t>
      </w:r>
      <w:r w:rsidRPr="00F7128C">
        <w:rPr>
          <w:rFonts w:eastAsia="Times New Roman" w:cs="Arial"/>
          <w:i/>
          <w:iCs/>
          <w:lang w:eastAsia="cs-CZ"/>
        </w:rPr>
        <w:t>“</w:t>
      </w:r>
      <w:r w:rsidRPr="00F7128C">
        <w:rPr>
          <w:rFonts w:eastAsia="Times New Roman" w:cs="Arial"/>
          <w:lang w:eastAsia="cs-CZ"/>
        </w:rPr>
        <w:t xml:space="preserve"> a podáním této nabídky akceptujeme všechny obchodní, technické a další podmínky uvedené v </w:t>
      </w:r>
      <w:r w:rsidR="006D4784">
        <w:rPr>
          <w:rFonts w:eastAsia="Times New Roman" w:cs="Arial"/>
          <w:lang w:eastAsia="cs-CZ"/>
        </w:rPr>
        <w:t>Z</w:t>
      </w:r>
      <w:r w:rsidRPr="00F7128C">
        <w:rPr>
          <w:rFonts w:eastAsia="Times New Roman" w:cs="Arial"/>
          <w:lang w:eastAsia="cs-CZ"/>
        </w:rPr>
        <w:t xml:space="preserve">adávací dokumentaci tohoto zadávacího řízení. </w:t>
      </w:r>
    </w:p>
    <w:p w14:paraId="57DAFC38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070ACE88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  <w:r w:rsidRPr="00F7128C">
        <w:rPr>
          <w:rFonts w:eastAsia="Times New Roman" w:cs="Arial"/>
          <w:lang w:eastAsia="cs-CZ"/>
        </w:rPr>
        <w:t xml:space="preserve">V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 xml:space="preserve"> dne </w:t>
      </w:r>
      <w:r w:rsidRPr="00F7128C">
        <w:rPr>
          <w:rFonts w:cstheme="minorHAnsi"/>
        </w:rPr>
        <w:t>[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theme="minorHAnsi"/>
        </w:rPr>
        <w:t>]</w:t>
      </w:r>
      <w:r w:rsidRPr="00F7128C">
        <w:rPr>
          <w:rFonts w:eastAsia="Times New Roman" w:cs="Arial"/>
          <w:lang w:eastAsia="cs-CZ"/>
        </w:rPr>
        <w:tab/>
      </w:r>
    </w:p>
    <w:p w14:paraId="44A1F73F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1496FC70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F5F1246" w14:textId="77777777" w:rsidR="00F7128C" w:rsidRPr="00F7128C" w:rsidRDefault="00F7128C" w:rsidP="00F7128C">
      <w:pPr>
        <w:widowControl w:val="0"/>
        <w:autoSpaceDE w:val="0"/>
        <w:autoSpaceDN w:val="0"/>
        <w:adjustRightInd w:val="0"/>
        <w:spacing w:after="0"/>
        <w:outlineLvl w:val="0"/>
        <w:rPr>
          <w:rFonts w:eastAsia="Times New Roman" w:cs="Arial"/>
          <w:lang w:eastAsia="cs-CZ"/>
        </w:rPr>
      </w:pPr>
    </w:p>
    <w:p w14:paraId="7D4D1378" w14:textId="77777777" w:rsidR="00F7128C" w:rsidRPr="00F7128C" w:rsidRDefault="00F7128C" w:rsidP="00F7128C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_______________________________________</w:t>
      </w:r>
    </w:p>
    <w:p w14:paraId="10F0CF2B" w14:textId="77777777" w:rsidR="00F7128C" w:rsidRPr="00F7128C" w:rsidRDefault="00F7128C" w:rsidP="00F7128C">
      <w:pPr>
        <w:spacing w:after="0"/>
        <w:rPr>
          <w:rFonts w:cs="Arial"/>
          <w:b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b/>
          <w:szCs w:val="20"/>
          <w:highlight w:val="green"/>
        </w:rPr>
        <w:t>název účastníka</w:t>
      </w:r>
      <w:r w:rsidRPr="00F7128C">
        <w:rPr>
          <w:rFonts w:cs="Arial"/>
          <w:szCs w:val="20"/>
          <w:highlight w:val="green"/>
        </w:rPr>
        <w:t xml:space="preserve">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01485FBE" w14:textId="77777777" w:rsidR="00F7128C" w:rsidRPr="00F7128C" w:rsidRDefault="00F7128C" w:rsidP="00F7128C">
      <w:pPr>
        <w:spacing w:after="0"/>
        <w:rPr>
          <w:rFonts w:cs="Arial"/>
          <w:szCs w:val="20"/>
        </w:rPr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jméno a příjmení osoby oprávněné jednat jménem nebo za účastníka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202653AA" w14:textId="508DBB90" w:rsidR="00F7128C" w:rsidRDefault="00F7128C" w:rsidP="00F7128C">
      <w:pPr>
        <w:spacing w:after="200"/>
        <w:jc w:val="left"/>
      </w:pPr>
      <w:r w:rsidRPr="00F7128C">
        <w:rPr>
          <w:rFonts w:cs="Arial"/>
          <w:szCs w:val="20"/>
        </w:rPr>
        <w:t>[</w:t>
      </w:r>
      <w:r w:rsidRPr="00F7128C">
        <w:rPr>
          <w:rFonts w:cs="Arial"/>
          <w:szCs w:val="20"/>
          <w:highlight w:val="green"/>
        </w:rPr>
        <w:t xml:space="preserve">funkce nebo oprávnění - </w:t>
      </w:r>
      <w:r w:rsidRPr="00F7128C">
        <w:rPr>
          <w:rFonts w:cstheme="minorHAnsi"/>
          <w:highlight w:val="green"/>
        </w:rPr>
        <w:t>DOPLNÍ DODAVATEL</w:t>
      </w:r>
      <w:r w:rsidRPr="00F7128C">
        <w:rPr>
          <w:rFonts w:cs="Arial"/>
          <w:szCs w:val="20"/>
        </w:rPr>
        <w:t>]</w:t>
      </w:r>
    </w:p>
    <w:p w14:paraId="4A6E0876" w14:textId="65628ECF" w:rsidR="00F7128C" w:rsidRDefault="00F7128C" w:rsidP="0042325A">
      <w:pPr>
        <w:tabs>
          <w:tab w:val="left" w:pos="1575"/>
        </w:tabs>
        <w:spacing w:after="0" w:line="240" w:lineRule="auto"/>
      </w:pPr>
    </w:p>
    <w:p w14:paraId="110D9363" w14:textId="77777777" w:rsidR="00F7128C" w:rsidRDefault="00F7128C">
      <w:pPr>
        <w:spacing w:after="200"/>
        <w:jc w:val="left"/>
      </w:pPr>
      <w:r>
        <w:br w:type="page"/>
      </w:r>
    </w:p>
    <w:p w14:paraId="7CFFDC36" w14:textId="575C52EF" w:rsidR="00F7128C" w:rsidRDefault="00F7128C" w:rsidP="00F7128C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 xml:space="preserve">2 – </w:t>
      </w:r>
      <w:r w:rsidR="008F3BDC" w:rsidRPr="008F3BDC">
        <w:rPr>
          <w:rFonts w:cstheme="minorHAnsi"/>
          <w:b/>
          <w:bCs/>
        </w:rPr>
        <w:t>Seznam odběrných míst pro dodávky elektřiny v hladině VN</w:t>
      </w:r>
    </w:p>
    <w:p w14:paraId="7EB00337" w14:textId="77777777" w:rsidR="00F7128C" w:rsidRDefault="00F7128C" w:rsidP="00F7128C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0EBFBCCF" w14:textId="5E1E40C2" w:rsidR="00F7128C" w:rsidRDefault="00F7128C">
      <w:pPr>
        <w:spacing w:after="200"/>
        <w:jc w:val="left"/>
      </w:pPr>
    </w:p>
    <w:p w14:paraId="1287DFE7" w14:textId="3A5AB051" w:rsidR="003C0313" w:rsidRDefault="00F7128C" w:rsidP="00F7128C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3</w:t>
      </w:r>
      <w:r w:rsidR="003C0313">
        <w:rPr>
          <w:rFonts w:cstheme="minorHAnsi"/>
          <w:b/>
          <w:bCs/>
        </w:rPr>
        <w:t xml:space="preserve"> - </w:t>
      </w:r>
      <w:r w:rsidR="008F3BDC" w:rsidRPr="008F3BDC">
        <w:rPr>
          <w:rFonts w:cstheme="minorHAnsi"/>
          <w:b/>
          <w:bCs/>
        </w:rPr>
        <w:t xml:space="preserve">Seznam odběrných míst pro dodávky elektřiny v hladině </w:t>
      </w:r>
      <w:r w:rsidR="008F3BDC">
        <w:rPr>
          <w:rFonts w:cstheme="minorHAnsi"/>
          <w:b/>
          <w:bCs/>
        </w:rPr>
        <w:t>N</w:t>
      </w:r>
      <w:r w:rsidR="008F3BDC" w:rsidRPr="008F3BDC">
        <w:rPr>
          <w:rFonts w:cstheme="minorHAnsi"/>
          <w:b/>
          <w:bCs/>
        </w:rPr>
        <w:t>N</w:t>
      </w:r>
    </w:p>
    <w:p w14:paraId="596A76F0" w14:textId="77777777" w:rsidR="003C0313" w:rsidRPr="003C0313" w:rsidRDefault="003C0313" w:rsidP="003C0313">
      <w:pPr>
        <w:spacing w:after="200"/>
        <w:jc w:val="left"/>
        <w:rPr>
          <w:rFonts w:cstheme="minorHAnsi"/>
          <w:i/>
          <w:iCs/>
        </w:rPr>
      </w:pPr>
      <w:r w:rsidRPr="003C0313">
        <w:rPr>
          <w:rFonts w:cstheme="minorHAnsi"/>
          <w:i/>
          <w:iCs/>
        </w:rPr>
        <w:t>(Samostatný dokument)</w:t>
      </w:r>
    </w:p>
    <w:p w14:paraId="58913B6B" w14:textId="77777777" w:rsidR="003C0313" w:rsidRDefault="003C0313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2F4DD55" w14:textId="2DFBE1F7" w:rsidR="003C0313" w:rsidRPr="003C0313" w:rsidRDefault="003C0313" w:rsidP="003C0313">
      <w:pPr>
        <w:tabs>
          <w:tab w:val="left" w:pos="6096"/>
        </w:tabs>
        <w:spacing w:before="480"/>
        <w:jc w:val="left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Příloha č. 4</w:t>
      </w:r>
    </w:p>
    <w:p w14:paraId="1AB367FB" w14:textId="1516B39A" w:rsidR="00F7128C" w:rsidRPr="00F87288" w:rsidRDefault="00F7128C" w:rsidP="003C0313">
      <w:pPr>
        <w:tabs>
          <w:tab w:val="left" w:pos="6096"/>
        </w:tabs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6FA8D3A2" w14:textId="77777777" w:rsidR="00F7128C" w:rsidRDefault="00F7128C" w:rsidP="00F7128C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3ACBEAAF" w14:textId="49A74318" w:rsidR="00F7128C" w:rsidRPr="005A0818" w:rsidRDefault="0064618F" w:rsidP="0064618F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Dodávky elektrické energie na rok 2023</w:t>
      </w:r>
    </w:p>
    <w:p w14:paraId="3BF706BA" w14:textId="77777777" w:rsidR="00F7128C" w:rsidRDefault="00F7128C" w:rsidP="00F7128C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864"/>
        <w:gridCol w:w="3827"/>
        <w:gridCol w:w="3114"/>
      </w:tblGrid>
      <w:tr w:rsidR="00F7128C" w14:paraId="5E956679" w14:textId="77777777" w:rsidTr="00690897">
        <w:trPr>
          <w:trHeight w:val="1365"/>
        </w:trPr>
        <w:tc>
          <w:tcPr>
            <w:tcW w:w="2864" w:type="dxa"/>
            <w:shd w:val="clear" w:color="auto" w:fill="auto"/>
            <w:vAlign w:val="center"/>
          </w:tcPr>
          <w:p w14:paraId="0EC9EE88" w14:textId="77777777" w:rsidR="00F7128C" w:rsidRPr="007F2302" w:rsidRDefault="00F7128C" w:rsidP="00690897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73D08C87" w14:textId="77777777" w:rsidR="00F7128C" w:rsidRPr="000E7D16" w:rsidRDefault="00F7128C" w:rsidP="00690897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>
              <w:rPr>
                <w:b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AC0EEE" w14:textId="77777777" w:rsidR="00F7128C" w:rsidRDefault="00F7128C" w:rsidP="00690897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114" w:type="dxa"/>
            <w:vAlign w:val="center"/>
          </w:tcPr>
          <w:p w14:paraId="3DC58BEA" w14:textId="77777777" w:rsidR="00F7128C" w:rsidRPr="000E7D16" w:rsidRDefault="00F7128C" w:rsidP="00690897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</w:tr>
      <w:tr w:rsidR="00F7128C" w:rsidRPr="00351979" w14:paraId="4B402C41" w14:textId="77777777" w:rsidTr="00690897">
        <w:trPr>
          <w:trHeight w:val="549"/>
        </w:trPr>
        <w:tc>
          <w:tcPr>
            <w:tcW w:w="2864" w:type="dxa"/>
            <w:shd w:val="clear" w:color="auto" w:fill="auto"/>
            <w:vAlign w:val="center"/>
          </w:tcPr>
          <w:p w14:paraId="24892153" w14:textId="77777777" w:rsidR="00F7128C" w:rsidRPr="00351979" w:rsidRDefault="00F7128C" w:rsidP="00690897">
            <w:pPr>
              <w:spacing w:before="40" w:after="40" w:line="240" w:lineRule="auto"/>
              <w:rPr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D0402C" w14:textId="77777777" w:rsidR="00F7128C" w:rsidRPr="00E9508A" w:rsidRDefault="00F7128C" w:rsidP="00690897">
            <w:pPr>
              <w:spacing w:before="40" w:after="40" w:line="240" w:lineRule="auto"/>
              <w:rPr>
                <w:b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  <w:tc>
          <w:tcPr>
            <w:tcW w:w="3114" w:type="dxa"/>
            <w:vAlign w:val="center"/>
          </w:tcPr>
          <w:p w14:paraId="3F3ABBB7" w14:textId="77777777" w:rsidR="00F7128C" w:rsidRPr="00351979" w:rsidRDefault="00F7128C" w:rsidP="00690897">
            <w:pPr>
              <w:spacing w:before="40" w:after="40" w:line="240" w:lineRule="auto"/>
              <w:rPr>
                <w:rFonts w:eastAsia="Times New Roman" w:cs="Arial"/>
                <w:bCs/>
                <w:lang w:eastAsia="cs-CZ"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77EE8C1B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  <w:i/>
          <w:iCs/>
        </w:rPr>
      </w:pPr>
      <w:r w:rsidRPr="00351979">
        <w:rPr>
          <w:bCs/>
          <w:i/>
          <w:iCs/>
        </w:rPr>
        <w:t>Lze doplnit další řádky.</w:t>
      </w:r>
    </w:p>
    <w:p w14:paraId="1581E77D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</w:rPr>
      </w:pPr>
    </w:p>
    <w:p w14:paraId="339A6DAB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</w:rPr>
      </w:pPr>
    </w:p>
    <w:p w14:paraId="466E08FF" w14:textId="77777777" w:rsidR="00F7128C" w:rsidRPr="00351979" w:rsidRDefault="00F7128C" w:rsidP="00F7128C">
      <w:pPr>
        <w:tabs>
          <w:tab w:val="left" w:pos="1575"/>
        </w:tabs>
        <w:spacing w:after="0" w:line="240" w:lineRule="auto"/>
        <w:rPr>
          <w:bCs/>
        </w:rPr>
      </w:pPr>
    </w:p>
    <w:p w14:paraId="065BEA3E" w14:textId="77777777" w:rsidR="00F7128C" w:rsidRPr="00351979" w:rsidRDefault="00F7128C" w:rsidP="00F7128C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351979">
        <w:rPr>
          <w:rFonts w:eastAsia="Calibri" w:cstheme="minorHAnsi"/>
          <w:bCs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0F360A91" w14:textId="77777777" w:rsidR="00F7128C" w:rsidRPr="00351979" w:rsidRDefault="00F7128C" w:rsidP="00F7128C">
      <w:pPr>
        <w:spacing w:after="160" w:line="256" w:lineRule="auto"/>
        <w:rPr>
          <w:rFonts w:eastAsia="Calibri" w:cstheme="minorHAnsi"/>
          <w:bCs/>
        </w:rPr>
      </w:pPr>
    </w:p>
    <w:p w14:paraId="27401F70" w14:textId="77777777" w:rsidR="00F7128C" w:rsidRPr="00351979" w:rsidRDefault="00F7128C" w:rsidP="00F7128C">
      <w:pPr>
        <w:spacing w:after="160" w:line="256" w:lineRule="auto"/>
        <w:rPr>
          <w:rFonts w:eastAsia="Calibri" w:cstheme="minorHAnsi"/>
          <w:bCs/>
        </w:rPr>
      </w:pPr>
      <w:r w:rsidRPr="00351979">
        <w:rPr>
          <w:rFonts w:eastAsia="Calibri" w:cstheme="minorHAnsi"/>
          <w:bCs/>
        </w:rPr>
        <w:t>_______________________________</w:t>
      </w:r>
    </w:p>
    <w:p w14:paraId="6202DF75" w14:textId="77777777" w:rsidR="00F7128C" w:rsidRPr="00351979" w:rsidRDefault="00F7128C" w:rsidP="00F7128C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3436831" w14:textId="77777777" w:rsidR="00F7128C" w:rsidRPr="00351979" w:rsidRDefault="00F7128C" w:rsidP="00F7128C">
      <w:pPr>
        <w:spacing w:before="40" w:after="40" w:line="240" w:lineRule="auto"/>
        <w:rPr>
          <w:bCs/>
          <w:lang w:eastAsia="cs-CZ"/>
        </w:rPr>
      </w:pPr>
      <w:r w:rsidRPr="00351979">
        <w:rPr>
          <w:rFonts w:eastAsia="Calibri" w:cstheme="minorHAnsi"/>
          <w:bCs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C00EDB9" w14:textId="77777777" w:rsidR="00F7128C" w:rsidRDefault="00F7128C" w:rsidP="00F7128C">
      <w:pPr>
        <w:spacing w:after="160" w:line="257" w:lineRule="auto"/>
        <w:contextualSpacing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br w:type="page"/>
      </w:r>
    </w:p>
    <w:p w14:paraId="75C98265" w14:textId="47EAAEFF" w:rsidR="00394B2E" w:rsidRDefault="00394B2E" w:rsidP="00394B2E">
      <w:pPr>
        <w:spacing w:after="160" w:line="256" w:lineRule="auto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3C0313">
        <w:rPr>
          <w:rFonts w:cstheme="minorHAnsi"/>
          <w:b/>
          <w:bCs/>
        </w:rPr>
        <w:t>5</w:t>
      </w:r>
    </w:p>
    <w:p w14:paraId="4E9C4BBC" w14:textId="77777777" w:rsidR="00394B2E" w:rsidRPr="00F87288" w:rsidRDefault="00394B2E" w:rsidP="003C0313">
      <w:pPr>
        <w:tabs>
          <w:tab w:val="left" w:pos="6096"/>
        </w:tabs>
        <w:spacing w:before="12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5D124CA1" w14:textId="77777777" w:rsidR="00394B2E" w:rsidRDefault="00394B2E" w:rsidP="00394B2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o splnění kvalifikace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22129475" w14:textId="732BA4CB" w:rsidR="00394B2E" w:rsidRPr="005A0818" w:rsidRDefault="00B0428E" w:rsidP="00B0428E">
      <w:pPr>
        <w:jc w:val="center"/>
        <w:rPr>
          <w:b/>
          <w:caps/>
          <w:color w:val="E36C0A" w:themeColor="accent6" w:themeShade="BF"/>
          <w:sz w:val="40"/>
        </w:rPr>
      </w:pPr>
      <w:r>
        <w:rPr>
          <w:b/>
          <w:caps/>
          <w:color w:val="E36C0A" w:themeColor="accent6" w:themeShade="BF"/>
          <w:sz w:val="40"/>
        </w:rPr>
        <w:t>Dodávky elektrické energie na rok 2023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94B2E" w:rsidRPr="00A324F6" w14:paraId="0AC3F62D" w14:textId="77777777" w:rsidTr="0069089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3DD6096C" w14:textId="77777777" w:rsidR="00394B2E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</w:p>
          <w:p w14:paraId="5734418F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94B2E" w:rsidRPr="00A324F6" w14:paraId="1E653297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1AC7CD0E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7E12481B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4298A3CE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2B528B38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8B3BE4F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24FC49AE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74D0FE22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10B25890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5FC7A562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7DA368FB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00FF5E0C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09209532" w14:textId="77777777" w:rsidR="00394B2E" w:rsidRPr="00A324F6" w:rsidRDefault="00394B2E" w:rsidP="00394B2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42085004" w14:textId="77777777" w:rsidR="00394B2E" w:rsidRPr="00A324F6" w:rsidRDefault="00394B2E" w:rsidP="00394B2E">
      <w:pPr>
        <w:spacing w:after="0"/>
        <w:jc w:val="center"/>
        <w:rPr>
          <w:rFonts w:cstheme="minorHAnsi"/>
          <w:b/>
        </w:rPr>
      </w:pPr>
    </w:p>
    <w:p w14:paraId="53F293C7" w14:textId="77777777" w:rsidR="00394B2E" w:rsidRPr="00A324F6" w:rsidRDefault="00394B2E" w:rsidP="00394B2E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Dodavatel tímto čestně prohlašuje, že splňuje základní způsobilost v rozsahu dle § 74 </w:t>
      </w:r>
      <w:r>
        <w:rPr>
          <w:rFonts w:cstheme="minorHAnsi"/>
        </w:rPr>
        <w:t>z</w:t>
      </w:r>
      <w:r w:rsidRPr="00A324F6">
        <w:rPr>
          <w:rFonts w:cstheme="minorHAnsi"/>
        </w:rPr>
        <w:t>ákona</w:t>
      </w:r>
      <w:r>
        <w:rPr>
          <w:rFonts w:cstheme="minorHAnsi"/>
        </w:rPr>
        <w:t xml:space="preserve"> č. 134/2016 Sb., o zadávání veřejných zakázek, ve znění pozdějších předpisů (ZZVZ), tedy že</w:t>
      </w:r>
      <w:r w:rsidRPr="00A324F6">
        <w:rPr>
          <w:rFonts w:cstheme="minorHAnsi"/>
        </w:rPr>
        <w:t>:</w:t>
      </w:r>
    </w:p>
    <w:p w14:paraId="1C1C0978" w14:textId="77777777" w:rsidR="00394B2E" w:rsidRPr="00A324F6" w:rsidRDefault="00394B2E" w:rsidP="00DA7226">
      <w:pPr>
        <w:numPr>
          <w:ilvl w:val="0"/>
          <w:numId w:val="13"/>
        </w:numPr>
        <w:spacing w:before="120"/>
        <w:rPr>
          <w:rFonts w:cstheme="minorHAnsi"/>
        </w:rPr>
      </w:pPr>
      <w:r w:rsidRPr="00A324F6"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A324F6">
        <w:rPr>
          <w:rFonts w:cstheme="minorHAnsi"/>
          <w:vertAlign w:val="superscript"/>
        </w:rPr>
        <w:footnoteReference w:id="4"/>
      </w:r>
      <w:r w:rsidRPr="00A324F6">
        <w:rPr>
          <w:rFonts w:cstheme="minorHAnsi"/>
        </w:rPr>
        <w:t xml:space="preserve">; </w:t>
      </w:r>
    </w:p>
    <w:p w14:paraId="7AA401B4" w14:textId="77777777" w:rsidR="00394B2E" w:rsidRPr="00A324F6" w:rsidRDefault="00394B2E" w:rsidP="00DA7226">
      <w:pPr>
        <w:numPr>
          <w:ilvl w:val="0"/>
          <w:numId w:val="13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v evidenci daní zachycen splatný daňový nedoplatek;</w:t>
      </w:r>
    </w:p>
    <w:p w14:paraId="00E250AE" w14:textId="77777777" w:rsidR="00394B2E" w:rsidRPr="00A324F6" w:rsidRDefault="00394B2E" w:rsidP="00DA7226">
      <w:pPr>
        <w:numPr>
          <w:ilvl w:val="0"/>
          <w:numId w:val="13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53DC11C" w14:textId="77777777" w:rsidR="00394B2E" w:rsidRPr="00A324F6" w:rsidRDefault="00394B2E" w:rsidP="00DA7226">
      <w:pPr>
        <w:numPr>
          <w:ilvl w:val="0"/>
          <w:numId w:val="13"/>
        </w:numPr>
        <w:spacing w:before="120"/>
        <w:rPr>
          <w:rFonts w:cstheme="minorHAnsi"/>
        </w:rPr>
      </w:pPr>
      <w:r w:rsidRPr="00A324F6"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2D2614DC" w14:textId="77777777" w:rsidR="00394B2E" w:rsidRPr="00A324F6" w:rsidRDefault="00394B2E" w:rsidP="00DA7226">
      <w:pPr>
        <w:numPr>
          <w:ilvl w:val="0"/>
          <w:numId w:val="13"/>
        </w:numPr>
        <w:spacing w:before="120"/>
        <w:rPr>
          <w:rFonts w:cstheme="minorHAnsi"/>
        </w:rPr>
      </w:pPr>
      <w:r w:rsidRPr="00A324F6">
        <w:rPr>
          <w:rFonts w:cstheme="minorHAnsi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28FAF80D" w14:textId="7FCDB908" w:rsidR="00394B2E" w:rsidRDefault="00394B2E" w:rsidP="00394B2E">
      <w:pPr>
        <w:spacing w:before="120"/>
        <w:rPr>
          <w:rFonts w:cstheme="minorHAnsi"/>
        </w:rPr>
      </w:pPr>
      <w:r w:rsidRPr="00A324F6">
        <w:rPr>
          <w:rFonts w:cstheme="minorHAnsi"/>
        </w:rPr>
        <w:t>Dodavatel dále čestně prohlašuje, že splňuje profesní způsobilost v rozsahu dle § 77 odst. 1</w:t>
      </w:r>
      <w:r w:rsidR="00780779">
        <w:rPr>
          <w:rFonts w:cstheme="minorHAnsi"/>
        </w:rPr>
        <w:t xml:space="preserve"> a dle § 77 odst. 2 písm. a) ZZVZ</w:t>
      </w:r>
      <w:r w:rsidRPr="00A324F6">
        <w:rPr>
          <w:rFonts w:cstheme="minorHAnsi"/>
        </w:rPr>
        <w:t>, tj.:</w:t>
      </w:r>
      <w:r>
        <w:rPr>
          <w:rFonts w:cstheme="minorHAnsi"/>
        </w:rPr>
        <w:t xml:space="preserve"> </w:t>
      </w:r>
    </w:p>
    <w:p w14:paraId="3F0AC0C9" w14:textId="31D113FB" w:rsidR="00394B2E" w:rsidRDefault="00394B2E" w:rsidP="00DA7226">
      <w:pPr>
        <w:pStyle w:val="Odstavecseseznamem"/>
        <w:numPr>
          <w:ilvl w:val="0"/>
          <w:numId w:val="12"/>
        </w:numPr>
        <w:spacing w:before="120"/>
        <w:rPr>
          <w:rFonts w:cstheme="minorHAnsi"/>
        </w:rPr>
      </w:pPr>
      <w:r w:rsidRPr="00F301F7">
        <w:rPr>
          <w:rFonts w:cstheme="minorHAnsi"/>
        </w:rPr>
        <w:t>je zapsán v obchodním rejstříku nebo jiné obdobné evidenci, pokud jiný právní předpis zápis do takové evidence vyžaduje</w:t>
      </w:r>
      <w:r w:rsidR="00A63A8A">
        <w:rPr>
          <w:rFonts w:cstheme="minorHAnsi"/>
        </w:rPr>
        <w:t>;</w:t>
      </w:r>
    </w:p>
    <w:p w14:paraId="255F6E65" w14:textId="45E1F0EC" w:rsidR="00C31196" w:rsidRDefault="00DC10AA" w:rsidP="00DA7226">
      <w:pPr>
        <w:pStyle w:val="Odstavecseseznamem"/>
        <w:numPr>
          <w:ilvl w:val="0"/>
          <w:numId w:val="12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 xml:space="preserve">disponuje příslušným dokladem </w:t>
      </w:r>
      <w:r w:rsidR="006331E9">
        <w:rPr>
          <w:rFonts w:cstheme="minorHAnsi"/>
        </w:rPr>
        <w:t xml:space="preserve">dokladu o oprávnění k podnikání, a to platnou licencí na obchod s elektřinou dle </w:t>
      </w:r>
      <w:r w:rsidR="006331E9" w:rsidRPr="001316E3">
        <w:rPr>
          <w:rFonts w:cstheme="minorHAnsi"/>
        </w:rPr>
        <w:t>energetického zákona</w:t>
      </w:r>
      <w:r w:rsidR="006331E9">
        <w:rPr>
          <w:rFonts w:cstheme="minorHAnsi"/>
        </w:rPr>
        <w:t xml:space="preserve"> </w:t>
      </w:r>
      <w:r w:rsidR="006331E9" w:rsidRPr="001316E3">
        <w:rPr>
          <w:rFonts w:cstheme="minorHAnsi"/>
        </w:rPr>
        <w:t>a prováděcí vyhlášky ERÚ č. 8/2016 Sb., o podrobnostech udělování licencí</w:t>
      </w:r>
      <w:r w:rsidR="006331E9">
        <w:rPr>
          <w:rFonts w:cstheme="minorHAnsi"/>
        </w:rPr>
        <w:t xml:space="preserve"> </w:t>
      </w:r>
      <w:r w:rsidR="006331E9" w:rsidRPr="001316E3">
        <w:rPr>
          <w:rFonts w:cstheme="minorHAnsi"/>
        </w:rPr>
        <w:t>pro podnikání v energetických odvětvích, ve znění pozdějších předpisů</w:t>
      </w:r>
      <w:r w:rsidR="006331E9">
        <w:rPr>
          <w:rFonts w:cstheme="minorHAnsi"/>
        </w:rPr>
        <w:t>.</w:t>
      </w:r>
    </w:p>
    <w:p w14:paraId="499616B9" w14:textId="4E273232" w:rsidR="00394B2E" w:rsidRDefault="00394B2E" w:rsidP="00394B2E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před podpisem smlouvy doloží zadavateli veškeré doklady o splnění kvalifikace dle § 74, § 75 a § 77 odst. 1</w:t>
      </w:r>
      <w:r w:rsidR="00DC10AA">
        <w:rPr>
          <w:rFonts w:cstheme="minorHAnsi"/>
        </w:rPr>
        <w:t xml:space="preserve"> a odst. 2</w:t>
      </w:r>
      <w:r w:rsidR="00DD108F">
        <w:rPr>
          <w:rFonts w:cstheme="minorHAnsi"/>
        </w:rPr>
        <w:t xml:space="preserve"> písm. a)</w:t>
      </w:r>
      <w:r>
        <w:rPr>
          <w:rFonts w:cstheme="minorHAnsi"/>
        </w:rPr>
        <w:t xml:space="preserve"> ZZVZ.</w:t>
      </w:r>
    </w:p>
    <w:p w14:paraId="1DF2A5F4" w14:textId="77777777" w:rsidR="00394B2E" w:rsidRPr="00A324F6" w:rsidRDefault="00394B2E" w:rsidP="00394B2E">
      <w:pPr>
        <w:spacing w:before="120"/>
        <w:rPr>
          <w:rFonts w:cstheme="minorHAnsi"/>
        </w:rPr>
      </w:pPr>
      <w:r w:rsidRPr="00A324F6">
        <w:rPr>
          <w:rFonts w:cstheme="minorHAnsi"/>
        </w:rPr>
        <w:t xml:space="preserve">Toto čestné prohlášení činí </w:t>
      </w:r>
      <w:r>
        <w:rPr>
          <w:rFonts w:cstheme="minorHAnsi"/>
        </w:rPr>
        <w:t>D</w:t>
      </w:r>
      <w:r w:rsidRPr="00A324F6">
        <w:rPr>
          <w:rFonts w:cstheme="minorHAnsi"/>
        </w:rPr>
        <w:t>odavatel na základě své vážné a svobodné vůle a je si vědom všech následků plynoucích z uvedení nepravdivých údajů.</w:t>
      </w:r>
    </w:p>
    <w:p w14:paraId="110FB2CB" w14:textId="77777777" w:rsidR="00394B2E" w:rsidRPr="00A324F6" w:rsidRDefault="00394B2E" w:rsidP="00394B2E">
      <w:pPr>
        <w:rPr>
          <w:rFonts w:cstheme="minorHAnsi"/>
        </w:rPr>
      </w:pPr>
    </w:p>
    <w:p w14:paraId="224AD969" w14:textId="77777777" w:rsidR="00394B2E" w:rsidRPr="00A324F6" w:rsidRDefault="00394B2E" w:rsidP="00394B2E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C8350F3" w14:textId="77777777" w:rsidR="00394B2E" w:rsidRPr="00A324F6" w:rsidRDefault="00394B2E" w:rsidP="00394B2E">
      <w:pPr>
        <w:spacing w:after="160" w:line="259" w:lineRule="auto"/>
        <w:rPr>
          <w:rFonts w:eastAsia="Calibri" w:cstheme="minorHAnsi"/>
        </w:rPr>
      </w:pPr>
    </w:p>
    <w:p w14:paraId="44C53429" w14:textId="77777777" w:rsidR="00394B2E" w:rsidRPr="00A324F6" w:rsidRDefault="00394B2E" w:rsidP="00394B2E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5C6EDBBA" w14:textId="77777777" w:rsidR="00394B2E" w:rsidRDefault="00394B2E" w:rsidP="00394B2E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7E691C57" w14:textId="122D04DC" w:rsidR="00394B2E" w:rsidRDefault="00394B2E" w:rsidP="00394B2E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642034D3" w14:textId="77777777" w:rsidR="00394B2E" w:rsidRDefault="00394B2E">
      <w:pPr>
        <w:spacing w:after="200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5A5A562" w14:textId="1A2F65BD" w:rsidR="00394B2E" w:rsidRDefault="00394B2E" w:rsidP="00394B2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 w:rsidR="003C0313">
        <w:rPr>
          <w:rFonts w:cstheme="minorHAnsi"/>
          <w:b/>
          <w:bCs/>
        </w:rPr>
        <w:t>6</w:t>
      </w:r>
      <w:r>
        <w:rPr>
          <w:rFonts w:cstheme="minorHAnsi"/>
          <w:b/>
          <w:bCs/>
        </w:rPr>
        <w:t xml:space="preserve"> – Požadavky na elektronickou komunikaci Josephine</w:t>
      </w:r>
    </w:p>
    <w:p w14:paraId="5EC66AC7" w14:textId="77777777" w:rsidR="00394B2E" w:rsidRDefault="00394B2E" w:rsidP="00394B2E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7FFC6EA1" w14:textId="01E5F960" w:rsidR="00394B2E" w:rsidRDefault="00394B2E" w:rsidP="00394B2E">
      <w:pPr>
        <w:tabs>
          <w:tab w:val="left" w:pos="1575"/>
        </w:tabs>
        <w:spacing w:after="0" w:line="240" w:lineRule="auto"/>
      </w:pPr>
    </w:p>
    <w:p w14:paraId="6E9C8BDF" w14:textId="77777777" w:rsidR="00394B2E" w:rsidRDefault="00394B2E">
      <w:pPr>
        <w:spacing w:after="200"/>
        <w:jc w:val="left"/>
      </w:pPr>
      <w:r>
        <w:br w:type="page"/>
      </w:r>
    </w:p>
    <w:p w14:paraId="2E27DB6A" w14:textId="6135098E" w:rsidR="006C132E" w:rsidRDefault="006C132E" w:rsidP="006C132E">
      <w:pPr>
        <w:spacing w:after="200"/>
        <w:jc w:val="left"/>
        <w:rPr>
          <w:rFonts w:cstheme="minorHAnsi"/>
          <w:b/>
          <w:bCs/>
        </w:rPr>
      </w:pPr>
      <w:bookmarkStart w:id="26" w:name="_Hlk109389952"/>
      <w:r>
        <w:rPr>
          <w:rFonts w:cstheme="minorHAnsi"/>
          <w:b/>
          <w:bCs/>
        </w:rPr>
        <w:lastRenderedPageBreak/>
        <w:t xml:space="preserve">Příloha č. </w:t>
      </w:r>
      <w:r w:rsidR="00600015">
        <w:rPr>
          <w:rFonts w:cstheme="minorHAnsi"/>
          <w:b/>
          <w:bCs/>
        </w:rPr>
        <w:t>7</w:t>
      </w:r>
    </w:p>
    <w:bookmarkEnd w:id="26"/>
    <w:p w14:paraId="2F06F01E" w14:textId="77777777" w:rsidR="00394B2E" w:rsidRDefault="00394B2E" w:rsidP="00394B2E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383681FF" w14:textId="77777777" w:rsidR="00394B2E" w:rsidRDefault="00394B2E" w:rsidP="00394B2E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43768EBC" w14:textId="6C5DE26D" w:rsidR="00600015" w:rsidRPr="005A0818" w:rsidRDefault="00600015" w:rsidP="00600015">
      <w:pPr>
        <w:jc w:val="center"/>
        <w:rPr>
          <w:b/>
          <w:caps/>
          <w:color w:val="E36C0A" w:themeColor="accent6" w:themeShade="BF"/>
          <w:sz w:val="40"/>
        </w:rPr>
      </w:pPr>
      <w:bookmarkStart w:id="27" w:name="_Hlk109391859"/>
      <w:r>
        <w:rPr>
          <w:b/>
          <w:caps/>
          <w:color w:val="E36C0A" w:themeColor="accent6" w:themeShade="BF"/>
          <w:sz w:val="40"/>
        </w:rPr>
        <w:t>Dodávky elektrické energie na rok 2023</w:t>
      </w:r>
    </w:p>
    <w:bookmarkEnd w:id="27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394B2E" w:rsidRPr="00A324F6" w14:paraId="4F7244CA" w14:textId="77777777" w:rsidTr="0069089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2CDB381C" w14:textId="77777777" w:rsidR="00394B2E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</w:p>
          <w:p w14:paraId="71045D0A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394B2E" w:rsidRPr="00A324F6" w14:paraId="78DF56B8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6DC5D278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592844AC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7A637F73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2B0EC1B0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702945B1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2DAE1BAF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561D4B33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3CDAB713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  <w:tr w:rsidR="00394B2E" w:rsidRPr="00A324F6" w14:paraId="4F130F72" w14:textId="77777777" w:rsidTr="00690897">
        <w:trPr>
          <w:trHeight w:val="510"/>
        </w:trPr>
        <w:tc>
          <w:tcPr>
            <w:tcW w:w="1480" w:type="pct"/>
            <w:vAlign w:val="center"/>
          </w:tcPr>
          <w:p w14:paraId="0B68E2DE" w14:textId="77777777" w:rsidR="00394B2E" w:rsidRPr="00A324F6" w:rsidRDefault="00394B2E" w:rsidP="00690897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1D40D67" w14:textId="77777777" w:rsidR="00394B2E" w:rsidRPr="00CE46AC" w:rsidRDefault="00394B2E" w:rsidP="00690897">
            <w:pPr>
              <w:spacing w:after="0" w:line="276" w:lineRule="auto"/>
              <w:rPr>
                <w:rFonts w:cstheme="minorHAnsi"/>
                <w:bCs/>
              </w:rPr>
            </w:pPr>
            <w:r w:rsidRPr="00A558E9">
              <w:rPr>
                <w:rFonts w:cstheme="minorHAnsi"/>
              </w:rPr>
              <w:t>[</w:t>
            </w:r>
            <w:r w:rsidRPr="00A558E9">
              <w:rPr>
                <w:rFonts w:cstheme="minorHAnsi"/>
                <w:highlight w:val="green"/>
              </w:rPr>
              <w:t>DOPLNÍ DODAVATEL</w:t>
            </w:r>
            <w:r w:rsidRPr="00A558E9">
              <w:rPr>
                <w:rFonts w:cstheme="minorHAnsi"/>
              </w:rPr>
              <w:t>]</w:t>
            </w:r>
          </w:p>
        </w:tc>
      </w:tr>
    </w:tbl>
    <w:p w14:paraId="294458E4" w14:textId="77777777" w:rsidR="00394B2E" w:rsidRPr="00A324F6" w:rsidRDefault="00394B2E" w:rsidP="00394B2E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3E12D974" w14:textId="77777777" w:rsidR="00394B2E" w:rsidRDefault="00394B2E" w:rsidP="00394B2E">
      <w:pPr>
        <w:autoSpaceDE w:val="0"/>
        <w:rPr>
          <w:rFonts w:cstheme="minorHAnsi"/>
          <w:bCs/>
        </w:rPr>
      </w:pPr>
    </w:p>
    <w:p w14:paraId="742CFA93" w14:textId="77777777" w:rsidR="00394B2E" w:rsidRPr="005B5117" w:rsidRDefault="00394B2E" w:rsidP="00394B2E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Pr="005B5117">
        <w:rPr>
          <w:rFonts w:cstheme="minorHAnsi"/>
          <w:bCs/>
        </w:rPr>
        <w:t xml:space="preserve">veřejné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7C95C585" w14:textId="77777777" w:rsidR="00394B2E" w:rsidRPr="005B5117" w:rsidRDefault="00394B2E" w:rsidP="00394B2E">
      <w:pPr>
        <w:autoSpaceDE w:val="0"/>
        <w:rPr>
          <w:rFonts w:cstheme="minorHAnsi"/>
          <w:bCs/>
        </w:rPr>
      </w:pPr>
    </w:p>
    <w:p w14:paraId="18C783B8" w14:textId="77777777" w:rsidR="00394B2E" w:rsidRPr="005B5117" w:rsidRDefault="00394B2E" w:rsidP="00394B2E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zadavatel vázáni. </w:t>
      </w:r>
    </w:p>
    <w:p w14:paraId="2B499672" w14:textId="77777777" w:rsidR="00394B2E" w:rsidRPr="005B5117" w:rsidRDefault="00394B2E" w:rsidP="00394B2E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6B6E9DB6" w14:textId="77777777" w:rsidR="00C65D51" w:rsidRPr="00A324F6" w:rsidRDefault="00C65D51" w:rsidP="00C65D51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  <w:r w:rsidRPr="00A324F6">
        <w:rPr>
          <w:rFonts w:eastAsia="Calibri" w:cstheme="minorHAnsi"/>
        </w:rPr>
        <w:t xml:space="preserve"> dne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16DB9167" w14:textId="77777777" w:rsidR="00C65D51" w:rsidRPr="00A324F6" w:rsidRDefault="00C65D51" w:rsidP="00C65D51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0065D96A" w14:textId="77777777" w:rsidR="00C65D51" w:rsidRDefault="00C65D51" w:rsidP="00C65D51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p w14:paraId="2B399A78" w14:textId="19E74395" w:rsidR="00B547E6" w:rsidRPr="00F71239" w:rsidRDefault="00C65D51" w:rsidP="00F71239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A558E9">
        <w:rPr>
          <w:rFonts w:cstheme="minorHAnsi"/>
        </w:rPr>
        <w:t>[</w:t>
      </w:r>
      <w:r w:rsidRPr="00A558E9">
        <w:rPr>
          <w:rFonts w:cstheme="minorHAnsi"/>
          <w:highlight w:val="green"/>
        </w:rPr>
        <w:t>DOPLNÍ DODAVATEL</w:t>
      </w:r>
      <w:r w:rsidRPr="00A558E9">
        <w:rPr>
          <w:rFonts w:cstheme="minorHAnsi"/>
        </w:rPr>
        <w:t>]</w:t>
      </w:r>
    </w:p>
    <w:sectPr w:rsidR="00B547E6" w:rsidRPr="00F71239" w:rsidSect="00034075">
      <w:footerReference w:type="default" r:id="rId15"/>
      <w:headerReference w:type="first" r:id="rId16"/>
      <w:footerReference w:type="first" r:id="rId17"/>
      <w:pgSz w:w="11906" w:h="16838"/>
      <w:pgMar w:top="1276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7CF9E" w14:textId="77777777" w:rsidR="0060207D" w:rsidRDefault="0060207D" w:rsidP="00AB5244">
      <w:r>
        <w:separator/>
      </w:r>
    </w:p>
  </w:endnote>
  <w:endnote w:type="continuationSeparator" w:id="0">
    <w:p w14:paraId="08D616C9" w14:textId="77777777" w:rsidR="0060207D" w:rsidRDefault="0060207D" w:rsidP="00AB5244">
      <w:r>
        <w:continuationSeparator/>
      </w:r>
    </w:p>
  </w:endnote>
  <w:endnote w:type="continuationNotice" w:id="1">
    <w:p w14:paraId="3AC8457C" w14:textId="77777777" w:rsidR="0060207D" w:rsidRDefault="00602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8A48" w14:textId="77777777" w:rsidR="0060207D" w:rsidRDefault="0060207D" w:rsidP="00AB5244">
      <w:r>
        <w:separator/>
      </w:r>
    </w:p>
  </w:footnote>
  <w:footnote w:type="continuationSeparator" w:id="0">
    <w:p w14:paraId="0E9CE0C2" w14:textId="77777777" w:rsidR="0060207D" w:rsidRDefault="0060207D" w:rsidP="00AB5244">
      <w:r>
        <w:continuationSeparator/>
      </w:r>
    </w:p>
  </w:footnote>
  <w:footnote w:type="continuationNotice" w:id="1">
    <w:p w14:paraId="15BAC3BD" w14:textId="77777777" w:rsidR="0060207D" w:rsidRDefault="0060207D">
      <w:pPr>
        <w:spacing w:after="0" w:line="240" w:lineRule="auto"/>
      </w:pPr>
    </w:p>
  </w:footnote>
  <w:footnote w:id="2">
    <w:p w14:paraId="68615E59" w14:textId="5CF6E835" w:rsidR="00F7128C" w:rsidRPr="003F1294" w:rsidRDefault="00F7128C" w:rsidP="00F7128C">
      <w:pPr>
        <w:pStyle w:val="Textpoznpodarou"/>
        <w:rPr>
          <w:sz w:val="16"/>
          <w:szCs w:val="16"/>
        </w:rPr>
      </w:pPr>
      <w:r w:rsidRPr="00CC4974">
        <w:rPr>
          <w:rStyle w:val="Znakapoznpodarou"/>
          <w:sz w:val="16"/>
          <w:szCs w:val="16"/>
        </w:rPr>
        <w:footnoteRef/>
      </w:r>
      <w:r>
        <w:t xml:space="preserve"> </w:t>
      </w:r>
      <w:r w:rsidRPr="003F1294">
        <w:rPr>
          <w:sz w:val="16"/>
          <w:szCs w:val="16"/>
        </w:rPr>
        <w:t xml:space="preserve">Dodavatel doplní do krycího listu všechny </w:t>
      </w:r>
      <w:r w:rsidR="005A70E3">
        <w:rPr>
          <w:sz w:val="16"/>
          <w:szCs w:val="16"/>
        </w:rPr>
        <w:t>zeleně</w:t>
      </w:r>
      <w:r w:rsidRPr="003F1294">
        <w:rPr>
          <w:sz w:val="16"/>
          <w:szCs w:val="16"/>
        </w:rPr>
        <w:t xml:space="preserve"> vyznačené údaje. Za přesnost, úplnost a kompletnost krycího listu odpovídá dodavatel.</w:t>
      </w:r>
    </w:p>
  </w:footnote>
  <w:footnote w:id="3">
    <w:p w14:paraId="7A6D7C3B" w14:textId="77777777" w:rsidR="00F7128C" w:rsidRPr="003F1294" w:rsidRDefault="00F7128C" w:rsidP="00F7128C">
      <w:pPr>
        <w:spacing w:after="0"/>
        <w:rPr>
          <w:sz w:val="16"/>
          <w:szCs w:val="16"/>
        </w:rPr>
      </w:pPr>
      <w:r w:rsidRPr="003F1294">
        <w:rPr>
          <w:rStyle w:val="Znakapoznpodarou"/>
          <w:sz w:val="16"/>
          <w:szCs w:val="16"/>
        </w:rPr>
        <w:footnoteRef/>
      </w:r>
      <w:r w:rsidRPr="003F1294">
        <w:rPr>
          <w:sz w:val="16"/>
          <w:szCs w:val="16"/>
        </w:rPr>
        <w:t xml:space="preserve"> Zařazení mezi malý a střední podnik se posuzuje na základě těchto kritérií</w:t>
      </w:r>
      <w:r>
        <w:rPr>
          <w:sz w:val="16"/>
          <w:szCs w:val="16"/>
        </w:rPr>
        <w:t xml:space="preserve"> (i</w:t>
      </w:r>
      <w:r w:rsidRPr="003F1294">
        <w:rPr>
          <w:sz w:val="16"/>
          <w:szCs w:val="16"/>
        </w:rPr>
        <w:t xml:space="preserve">nformace slouží pouze pro účely následného vyplnění formuláře oznámení o výsledku zadávacího řízení: </w:t>
      </w:r>
    </w:p>
    <w:p w14:paraId="5543E5F5" w14:textId="77777777" w:rsidR="00F7128C" w:rsidRPr="003F1294" w:rsidRDefault="00F7128C" w:rsidP="00DA7226">
      <w:pPr>
        <w:numPr>
          <w:ilvl w:val="0"/>
          <w:numId w:val="11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 xml:space="preserve">malý podnik – méně než 50 zaměstnanců a roční obrat nebo rozvaha do 10 mil. EUR; </w:t>
      </w:r>
    </w:p>
    <w:p w14:paraId="28D9D207" w14:textId="77777777" w:rsidR="00F7128C" w:rsidRPr="003F1294" w:rsidRDefault="00F7128C" w:rsidP="00DA7226">
      <w:pPr>
        <w:numPr>
          <w:ilvl w:val="0"/>
          <w:numId w:val="11"/>
        </w:numPr>
        <w:spacing w:after="0"/>
        <w:ind w:left="714" w:hanging="357"/>
        <w:rPr>
          <w:sz w:val="16"/>
          <w:szCs w:val="16"/>
        </w:rPr>
      </w:pPr>
      <w:r w:rsidRPr="003F1294">
        <w:rPr>
          <w:sz w:val="16"/>
          <w:szCs w:val="16"/>
        </w:rPr>
        <w:t>střední podnik – méně než 250 zaměstnanců a roční obrat do 50 mil. EUR nebo rozvaha do 43 mil. EUR</w:t>
      </w:r>
      <w:r>
        <w:rPr>
          <w:sz w:val="16"/>
          <w:szCs w:val="16"/>
        </w:rPr>
        <w:t>.</w:t>
      </w:r>
    </w:p>
  </w:footnote>
  <w:footnote w:id="4">
    <w:p w14:paraId="55D441C5" w14:textId="77777777" w:rsidR="00394B2E" w:rsidRPr="00D34A52" w:rsidRDefault="00394B2E" w:rsidP="00394B2E">
      <w:pPr>
        <w:pStyle w:val="Textpoznpodarou"/>
        <w:jc w:val="both"/>
        <w:rPr>
          <w:rFonts w:cstheme="minorHAnsi"/>
          <w:sz w:val="18"/>
        </w:rPr>
      </w:pPr>
      <w:r w:rsidRPr="00D34A52">
        <w:rPr>
          <w:rStyle w:val="Znakapoznpodarou"/>
          <w:rFonts w:cstheme="minorHAnsi"/>
          <w:sz w:val="18"/>
        </w:rPr>
        <w:footnoteRef/>
      </w:r>
      <w:r w:rsidRPr="00D34A52">
        <w:rPr>
          <w:rFonts w:cstheme="minorHAnsi"/>
          <w:sz w:val="18"/>
        </w:rPr>
        <w:t xml:space="preserve"> Je-li </w:t>
      </w:r>
      <w:r>
        <w:rPr>
          <w:rFonts w:cstheme="minorHAnsi"/>
          <w:sz w:val="18"/>
        </w:rPr>
        <w:t>d</w:t>
      </w:r>
      <w:r w:rsidRPr="00D34A52">
        <w:rPr>
          <w:rFonts w:cstheme="minorHAnsi"/>
          <w:sz w:val="18"/>
        </w:rPr>
        <w:t>odavatel právnickou osobou, splňují tuto podmínku rovněž všichni členové statutárního orgánu dodavatele ve smyslu § 74 odst.</w:t>
      </w:r>
      <w:r>
        <w:rPr>
          <w:rFonts w:cstheme="minorHAnsi"/>
          <w:sz w:val="18"/>
        </w:rPr>
        <w:t> </w:t>
      </w:r>
      <w:r w:rsidRPr="00D34A52">
        <w:rPr>
          <w:rFonts w:cstheme="minorHAnsi"/>
          <w:sz w:val="18"/>
        </w:rPr>
        <w:t xml:space="preserve">2 </w:t>
      </w:r>
      <w:r>
        <w:rPr>
          <w:rFonts w:cstheme="minorHAnsi"/>
          <w:sz w:val="18"/>
        </w:rPr>
        <w:t>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9" name="Obrázek 9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5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7B457D"/>
    <w:multiLevelType w:val="hybridMultilevel"/>
    <w:tmpl w:val="05469D8E"/>
    <w:lvl w:ilvl="0" w:tplc="1F008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93303F"/>
    <w:multiLevelType w:val="hybridMultilevel"/>
    <w:tmpl w:val="5EC4E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12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059175">
    <w:abstractNumId w:val="2"/>
  </w:num>
  <w:num w:numId="2" w16cid:durableId="1342007519">
    <w:abstractNumId w:val="4"/>
  </w:num>
  <w:num w:numId="3" w16cid:durableId="1360938283">
    <w:abstractNumId w:val="8"/>
  </w:num>
  <w:num w:numId="4" w16cid:durableId="162867454">
    <w:abstractNumId w:val="11"/>
  </w:num>
  <w:num w:numId="5" w16cid:durableId="1630939749">
    <w:abstractNumId w:val="1"/>
  </w:num>
  <w:num w:numId="6" w16cid:durableId="326443294">
    <w:abstractNumId w:val="10"/>
  </w:num>
  <w:num w:numId="7" w16cid:durableId="1928221744">
    <w:abstractNumId w:val="10"/>
    <w:lvlOverride w:ilvl="0">
      <w:startOverride w:val="1"/>
    </w:lvlOverride>
  </w:num>
  <w:num w:numId="8" w16cid:durableId="8608087">
    <w:abstractNumId w:val="6"/>
  </w:num>
  <w:num w:numId="9" w16cid:durableId="1337534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3601924">
    <w:abstractNumId w:val="3"/>
  </w:num>
  <w:num w:numId="11" w16cid:durableId="651250403">
    <w:abstractNumId w:val="9"/>
  </w:num>
  <w:num w:numId="12" w16cid:durableId="705103368">
    <w:abstractNumId w:val="5"/>
  </w:num>
  <w:num w:numId="13" w16cid:durableId="15271533">
    <w:abstractNumId w:val="12"/>
  </w:num>
  <w:num w:numId="14" w16cid:durableId="1611861793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00464"/>
    <w:rsid w:val="000014CC"/>
    <w:rsid w:val="00002309"/>
    <w:rsid w:val="00007D83"/>
    <w:rsid w:val="0001060F"/>
    <w:rsid w:val="000118FE"/>
    <w:rsid w:val="00011F56"/>
    <w:rsid w:val="00012137"/>
    <w:rsid w:val="0001297A"/>
    <w:rsid w:val="00015510"/>
    <w:rsid w:val="000157F5"/>
    <w:rsid w:val="00017EDD"/>
    <w:rsid w:val="000231D4"/>
    <w:rsid w:val="00027E8D"/>
    <w:rsid w:val="000339D4"/>
    <w:rsid w:val="00034075"/>
    <w:rsid w:val="00035368"/>
    <w:rsid w:val="00036E5B"/>
    <w:rsid w:val="0004007F"/>
    <w:rsid w:val="0004083E"/>
    <w:rsid w:val="00040938"/>
    <w:rsid w:val="000411AF"/>
    <w:rsid w:val="00042FCF"/>
    <w:rsid w:val="00052C3D"/>
    <w:rsid w:val="00053AD6"/>
    <w:rsid w:val="000606CE"/>
    <w:rsid w:val="000608A8"/>
    <w:rsid w:val="00060CE5"/>
    <w:rsid w:val="00062835"/>
    <w:rsid w:val="00063BBA"/>
    <w:rsid w:val="00064976"/>
    <w:rsid w:val="00064997"/>
    <w:rsid w:val="00070AC1"/>
    <w:rsid w:val="0007122F"/>
    <w:rsid w:val="0007315F"/>
    <w:rsid w:val="00075795"/>
    <w:rsid w:val="00077196"/>
    <w:rsid w:val="00081B96"/>
    <w:rsid w:val="00081C3A"/>
    <w:rsid w:val="0008341F"/>
    <w:rsid w:val="00084803"/>
    <w:rsid w:val="00086432"/>
    <w:rsid w:val="00086611"/>
    <w:rsid w:val="00090C3D"/>
    <w:rsid w:val="0009131B"/>
    <w:rsid w:val="000915CA"/>
    <w:rsid w:val="00094FCB"/>
    <w:rsid w:val="000A2D4F"/>
    <w:rsid w:val="000A31A0"/>
    <w:rsid w:val="000A68A6"/>
    <w:rsid w:val="000B008A"/>
    <w:rsid w:val="000B28E3"/>
    <w:rsid w:val="000B3E30"/>
    <w:rsid w:val="000B4DC8"/>
    <w:rsid w:val="000B55C7"/>
    <w:rsid w:val="000B7669"/>
    <w:rsid w:val="000C05F5"/>
    <w:rsid w:val="000C4AE5"/>
    <w:rsid w:val="000C696D"/>
    <w:rsid w:val="000D5DFE"/>
    <w:rsid w:val="000D61DA"/>
    <w:rsid w:val="000F2AC6"/>
    <w:rsid w:val="000F47ED"/>
    <w:rsid w:val="00100726"/>
    <w:rsid w:val="00100796"/>
    <w:rsid w:val="00111C19"/>
    <w:rsid w:val="00113A8C"/>
    <w:rsid w:val="001178DD"/>
    <w:rsid w:val="0012259C"/>
    <w:rsid w:val="00123C25"/>
    <w:rsid w:val="00126211"/>
    <w:rsid w:val="001316E3"/>
    <w:rsid w:val="001342EC"/>
    <w:rsid w:val="001374FB"/>
    <w:rsid w:val="00137DA0"/>
    <w:rsid w:val="001411EB"/>
    <w:rsid w:val="00141B0A"/>
    <w:rsid w:val="00147297"/>
    <w:rsid w:val="00150000"/>
    <w:rsid w:val="00151EB7"/>
    <w:rsid w:val="00153136"/>
    <w:rsid w:val="00156B2F"/>
    <w:rsid w:val="00160A84"/>
    <w:rsid w:val="00163000"/>
    <w:rsid w:val="001631B5"/>
    <w:rsid w:val="00167332"/>
    <w:rsid w:val="001720AF"/>
    <w:rsid w:val="00174BCD"/>
    <w:rsid w:val="001752C3"/>
    <w:rsid w:val="00175B01"/>
    <w:rsid w:val="00176138"/>
    <w:rsid w:val="00177D5F"/>
    <w:rsid w:val="00181F82"/>
    <w:rsid w:val="0018673C"/>
    <w:rsid w:val="00187B83"/>
    <w:rsid w:val="00190229"/>
    <w:rsid w:val="00190304"/>
    <w:rsid w:val="00193B7A"/>
    <w:rsid w:val="00194E21"/>
    <w:rsid w:val="00197873"/>
    <w:rsid w:val="001A09B6"/>
    <w:rsid w:val="001A4FA3"/>
    <w:rsid w:val="001A5832"/>
    <w:rsid w:val="001A6119"/>
    <w:rsid w:val="001A6587"/>
    <w:rsid w:val="001A7A97"/>
    <w:rsid w:val="001A7D1E"/>
    <w:rsid w:val="001B1DE5"/>
    <w:rsid w:val="001B2067"/>
    <w:rsid w:val="001B2847"/>
    <w:rsid w:val="001B3E37"/>
    <w:rsid w:val="001B4C14"/>
    <w:rsid w:val="001C2710"/>
    <w:rsid w:val="001C38AF"/>
    <w:rsid w:val="001D7CCE"/>
    <w:rsid w:val="001E06DA"/>
    <w:rsid w:val="001E2940"/>
    <w:rsid w:val="001F20D1"/>
    <w:rsid w:val="001F4B6F"/>
    <w:rsid w:val="001F637B"/>
    <w:rsid w:val="001F75C5"/>
    <w:rsid w:val="001F7E8E"/>
    <w:rsid w:val="00201652"/>
    <w:rsid w:val="00204380"/>
    <w:rsid w:val="002052C2"/>
    <w:rsid w:val="00205D13"/>
    <w:rsid w:val="00207CCB"/>
    <w:rsid w:val="002100C5"/>
    <w:rsid w:val="002110A8"/>
    <w:rsid w:val="00212A8C"/>
    <w:rsid w:val="00222D77"/>
    <w:rsid w:val="002264CB"/>
    <w:rsid w:val="00233190"/>
    <w:rsid w:val="00237342"/>
    <w:rsid w:val="0024184E"/>
    <w:rsid w:val="0024402F"/>
    <w:rsid w:val="00247E2D"/>
    <w:rsid w:val="00253100"/>
    <w:rsid w:val="0025598B"/>
    <w:rsid w:val="00260223"/>
    <w:rsid w:val="00261C56"/>
    <w:rsid w:val="00264773"/>
    <w:rsid w:val="00267A7E"/>
    <w:rsid w:val="002723A8"/>
    <w:rsid w:val="00272FEE"/>
    <w:rsid w:val="0027394C"/>
    <w:rsid w:val="00280901"/>
    <w:rsid w:val="00287C57"/>
    <w:rsid w:val="0029058B"/>
    <w:rsid w:val="002923EB"/>
    <w:rsid w:val="00292B84"/>
    <w:rsid w:val="002950C6"/>
    <w:rsid w:val="002A70F1"/>
    <w:rsid w:val="002B2BD0"/>
    <w:rsid w:val="002C12F7"/>
    <w:rsid w:val="002D17D2"/>
    <w:rsid w:val="002D5149"/>
    <w:rsid w:val="002E2D3E"/>
    <w:rsid w:val="002E4517"/>
    <w:rsid w:val="002E4E44"/>
    <w:rsid w:val="002E52BB"/>
    <w:rsid w:val="002E5A3B"/>
    <w:rsid w:val="002E7DA5"/>
    <w:rsid w:val="002F2145"/>
    <w:rsid w:val="002F4B3C"/>
    <w:rsid w:val="002F6C39"/>
    <w:rsid w:val="002F7267"/>
    <w:rsid w:val="00302321"/>
    <w:rsid w:val="00302FC1"/>
    <w:rsid w:val="00303595"/>
    <w:rsid w:val="003048E6"/>
    <w:rsid w:val="00306695"/>
    <w:rsid w:val="0030687D"/>
    <w:rsid w:val="003072E5"/>
    <w:rsid w:val="0031332E"/>
    <w:rsid w:val="00314F41"/>
    <w:rsid w:val="00316A19"/>
    <w:rsid w:val="003173B0"/>
    <w:rsid w:val="00317CFB"/>
    <w:rsid w:val="00321404"/>
    <w:rsid w:val="00322573"/>
    <w:rsid w:val="00323EB8"/>
    <w:rsid w:val="00326A38"/>
    <w:rsid w:val="00326AC5"/>
    <w:rsid w:val="00327FE3"/>
    <w:rsid w:val="00330B8E"/>
    <w:rsid w:val="0033490B"/>
    <w:rsid w:val="00337741"/>
    <w:rsid w:val="00337AF6"/>
    <w:rsid w:val="00345DFB"/>
    <w:rsid w:val="003479FB"/>
    <w:rsid w:val="00351071"/>
    <w:rsid w:val="003515C6"/>
    <w:rsid w:val="003577C9"/>
    <w:rsid w:val="00362667"/>
    <w:rsid w:val="003632E2"/>
    <w:rsid w:val="0036416E"/>
    <w:rsid w:val="003705B8"/>
    <w:rsid w:val="0037093A"/>
    <w:rsid w:val="0037150D"/>
    <w:rsid w:val="00375526"/>
    <w:rsid w:val="00375D49"/>
    <w:rsid w:val="003801D0"/>
    <w:rsid w:val="00382541"/>
    <w:rsid w:val="003843B5"/>
    <w:rsid w:val="00386AD5"/>
    <w:rsid w:val="0039264E"/>
    <w:rsid w:val="00393C2A"/>
    <w:rsid w:val="003943CA"/>
    <w:rsid w:val="00394B2E"/>
    <w:rsid w:val="00396FFB"/>
    <w:rsid w:val="003974C8"/>
    <w:rsid w:val="003974C9"/>
    <w:rsid w:val="003A1EE3"/>
    <w:rsid w:val="003A3167"/>
    <w:rsid w:val="003A66F7"/>
    <w:rsid w:val="003A74DB"/>
    <w:rsid w:val="003B0915"/>
    <w:rsid w:val="003B3BB7"/>
    <w:rsid w:val="003C0313"/>
    <w:rsid w:val="003C0E8C"/>
    <w:rsid w:val="003C1ADC"/>
    <w:rsid w:val="003C326A"/>
    <w:rsid w:val="003C67EE"/>
    <w:rsid w:val="003C6C84"/>
    <w:rsid w:val="003D08F4"/>
    <w:rsid w:val="003D2553"/>
    <w:rsid w:val="003D2B0B"/>
    <w:rsid w:val="003D2D6D"/>
    <w:rsid w:val="003D6B4C"/>
    <w:rsid w:val="003E2E89"/>
    <w:rsid w:val="003E4D42"/>
    <w:rsid w:val="003E688C"/>
    <w:rsid w:val="003E6B46"/>
    <w:rsid w:val="003E70AC"/>
    <w:rsid w:val="003F12BD"/>
    <w:rsid w:val="003F2EE5"/>
    <w:rsid w:val="003F5BF3"/>
    <w:rsid w:val="003F7863"/>
    <w:rsid w:val="003F7E98"/>
    <w:rsid w:val="00401FBE"/>
    <w:rsid w:val="00404146"/>
    <w:rsid w:val="0040470B"/>
    <w:rsid w:val="004062F8"/>
    <w:rsid w:val="00411D5A"/>
    <w:rsid w:val="0041365E"/>
    <w:rsid w:val="004162EA"/>
    <w:rsid w:val="004204A9"/>
    <w:rsid w:val="004227F2"/>
    <w:rsid w:val="0042325A"/>
    <w:rsid w:val="00426107"/>
    <w:rsid w:val="004305F6"/>
    <w:rsid w:val="0043136B"/>
    <w:rsid w:val="004341FA"/>
    <w:rsid w:val="00437703"/>
    <w:rsid w:val="00441CFF"/>
    <w:rsid w:val="0044573D"/>
    <w:rsid w:val="00447AB8"/>
    <w:rsid w:val="00451B08"/>
    <w:rsid w:val="0045218B"/>
    <w:rsid w:val="00453D8C"/>
    <w:rsid w:val="004560C7"/>
    <w:rsid w:val="0046367A"/>
    <w:rsid w:val="004669CA"/>
    <w:rsid w:val="00472D64"/>
    <w:rsid w:val="00474B20"/>
    <w:rsid w:val="004838D2"/>
    <w:rsid w:val="004846E3"/>
    <w:rsid w:val="004A01D0"/>
    <w:rsid w:val="004A02BA"/>
    <w:rsid w:val="004A1422"/>
    <w:rsid w:val="004A2200"/>
    <w:rsid w:val="004A2D12"/>
    <w:rsid w:val="004A367A"/>
    <w:rsid w:val="004B0118"/>
    <w:rsid w:val="004B047A"/>
    <w:rsid w:val="004B2739"/>
    <w:rsid w:val="004B4E13"/>
    <w:rsid w:val="004B5692"/>
    <w:rsid w:val="004C3E3D"/>
    <w:rsid w:val="004C51F1"/>
    <w:rsid w:val="004C6247"/>
    <w:rsid w:val="004C6337"/>
    <w:rsid w:val="004C74C1"/>
    <w:rsid w:val="004D177E"/>
    <w:rsid w:val="004D1E07"/>
    <w:rsid w:val="004D3C77"/>
    <w:rsid w:val="004E24C7"/>
    <w:rsid w:val="004E293C"/>
    <w:rsid w:val="004E67EC"/>
    <w:rsid w:val="004F5FBB"/>
    <w:rsid w:val="004F7641"/>
    <w:rsid w:val="004F7B67"/>
    <w:rsid w:val="00501B33"/>
    <w:rsid w:val="00503AFC"/>
    <w:rsid w:val="00504A1C"/>
    <w:rsid w:val="00507C74"/>
    <w:rsid w:val="005108D2"/>
    <w:rsid w:val="00510966"/>
    <w:rsid w:val="00511B41"/>
    <w:rsid w:val="00512D4D"/>
    <w:rsid w:val="005162D9"/>
    <w:rsid w:val="0051710A"/>
    <w:rsid w:val="00520EBB"/>
    <w:rsid w:val="0052503D"/>
    <w:rsid w:val="005259DB"/>
    <w:rsid w:val="00532231"/>
    <w:rsid w:val="0054645C"/>
    <w:rsid w:val="00557552"/>
    <w:rsid w:val="00562396"/>
    <w:rsid w:val="005627B8"/>
    <w:rsid w:val="00565FCE"/>
    <w:rsid w:val="00567A97"/>
    <w:rsid w:val="00574624"/>
    <w:rsid w:val="00576FEB"/>
    <w:rsid w:val="00580C99"/>
    <w:rsid w:val="00582D26"/>
    <w:rsid w:val="00593863"/>
    <w:rsid w:val="00597BE8"/>
    <w:rsid w:val="005A0818"/>
    <w:rsid w:val="005A138F"/>
    <w:rsid w:val="005A2BBD"/>
    <w:rsid w:val="005A3423"/>
    <w:rsid w:val="005A38E9"/>
    <w:rsid w:val="005A5B26"/>
    <w:rsid w:val="005A70E3"/>
    <w:rsid w:val="005B25E7"/>
    <w:rsid w:val="005B5787"/>
    <w:rsid w:val="005B700E"/>
    <w:rsid w:val="005C27DB"/>
    <w:rsid w:val="005C3AE8"/>
    <w:rsid w:val="005C6C30"/>
    <w:rsid w:val="005D03F9"/>
    <w:rsid w:val="005D0DB9"/>
    <w:rsid w:val="005D0F73"/>
    <w:rsid w:val="005D1D2E"/>
    <w:rsid w:val="005E16CD"/>
    <w:rsid w:val="005E1FED"/>
    <w:rsid w:val="005F131A"/>
    <w:rsid w:val="005F3239"/>
    <w:rsid w:val="005F4164"/>
    <w:rsid w:val="005F6F69"/>
    <w:rsid w:val="00600015"/>
    <w:rsid w:val="006006C0"/>
    <w:rsid w:val="0060207D"/>
    <w:rsid w:val="00604BF6"/>
    <w:rsid w:val="00610C74"/>
    <w:rsid w:val="00613BAE"/>
    <w:rsid w:val="00616E4C"/>
    <w:rsid w:val="00617E6B"/>
    <w:rsid w:val="00620C03"/>
    <w:rsid w:val="006213E1"/>
    <w:rsid w:val="0062168B"/>
    <w:rsid w:val="00626EF2"/>
    <w:rsid w:val="006331E9"/>
    <w:rsid w:val="0063359C"/>
    <w:rsid w:val="00633F51"/>
    <w:rsid w:val="00634A09"/>
    <w:rsid w:val="00635D0A"/>
    <w:rsid w:val="00637BA7"/>
    <w:rsid w:val="00637BDC"/>
    <w:rsid w:val="00641311"/>
    <w:rsid w:val="0064223D"/>
    <w:rsid w:val="00645339"/>
    <w:rsid w:val="00645A03"/>
    <w:rsid w:val="0064618F"/>
    <w:rsid w:val="00646D52"/>
    <w:rsid w:val="00647333"/>
    <w:rsid w:val="00651C45"/>
    <w:rsid w:val="0065268B"/>
    <w:rsid w:val="00655D9A"/>
    <w:rsid w:val="006562F4"/>
    <w:rsid w:val="006572CF"/>
    <w:rsid w:val="006602A8"/>
    <w:rsid w:val="00661F64"/>
    <w:rsid w:val="00663F58"/>
    <w:rsid w:val="006640FC"/>
    <w:rsid w:val="00665C45"/>
    <w:rsid w:val="006735D3"/>
    <w:rsid w:val="006756B7"/>
    <w:rsid w:val="00675EE0"/>
    <w:rsid w:val="0068286E"/>
    <w:rsid w:val="006835C3"/>
    <w:rsid w:val="00683F7B"/>
    <w:rsid w:val="0069138B"/>
    <w:rsid w:val="0069251F"/>
    <w:rsid w:val="00693375"/>
    <w:rsid w:val="00694E95"/>
    <w:rsid w:val="006961FE"/>
    <w:rsid w:val="006A7789"/>
    <w:rsid w:val="006A7B90"/>
    <w:rsid w:val="006B7E1C"/>
    <w:rsid w:val="006C132E"/>
    <w:rsid w:val="006C2036"/>
    <w:rsid w:val="006C4548"/>
    <w:rsid w:val="006C5417"/>
    <w:rsid w:val="006D14B7"/>
    <w:rsid w:val="006D3BA3"/>
    <w:rsid w:val="006D42EA"/>
    <w:rsid w:val="006D4784"/>
    <w:rsid w:val="006D6A64"/>
    <w:rsid w:val="006D76AF"/>
    <w:rsid w:val="006E255F"/>
    <w:rsid w:val="006E30CF"/>
    <w:rsid w:val="006F1450"/>
    <w:rsid w:val="006F7038"/>
    <w:rsid w:val="007001E9"/>
    <w:rsid w:val="007049D4"/>
    <w:rsid w:val="00705276"/>
    <w:rsid w:val="0070569C"/>
    <w:rsid w:val="00705B4F"/>
    <w:rsid w:val="0070677E"/>
    <w:rsid w:val="00710FB1"/>
    <w:rsid w:val="00713C77"/>
    <w:rsid w:val="00713E04"/>
    <w:rsid w:val="00716EAF"/>
    <w:rsid w:val="00717C6C"/>
    <w:rsid w:val="00720075"/>
    <w:rsid w:val="007217B0"/>
    <w:rsid w:val="00721D71"/>
    <w:rsid w:val="0072302F"/>
    <w:rsid w:val="00723A88"/>
    <w:rsid w:val="007264F9"/>
    <w:rsid w:val="00726F04"/>
    <w:rsid w:val="0073264C"/>
    <w:rsid w:val="007345DD"/>
    <w:rsid w:val="00734CC7"/>
    <w:rsid w:val="0073607B"/>
    <w:rsid w:val="007526FF"/>
    <w:rsid w:val="0075373F"/>
    <w:rsid w:val="00760B83"/>
    <w:rsid w:val="00761978"/>
    <w:rsid w:val="00762AE6"/>
    <w:rsid w:val="00763491"/>
    <w:rsid w:val="007638C0"/>
    <w:rsid w:val="00765404"/>
    <w:rsid w:val="00767F96"/>
    <w:rsid w:val="00770EAC"/>
    <w:rsid w:val="007751AB"/>
    <w:rsid w:val="00776C14"/>
    <w:rsid w:val="0077784A"/>
    <w:rsid w:val="00777A26"/>
    <w:rsid w:val="00780779"/>
    <w:rsid w:val="007834EF"/>
    <w:rsid w:val="00790D40"/>
    <w:rsid w:val="007A1C77"/>
    <w:rsid w:val="007A228E"/>
    <w:rsid w:val="007A4F36"/>
    <w:rsid w:val="007B11EA"/>
    <w:rsid w:val="007B6266"/>
    <w:rsid w:val="007D169C"/>
    <w:rsid w:val="007D5B70"/>
    <w:rsid w:val="007F02FD"/>
    <w:rsid w:val="007F32E6"/>
    <w:rsid w:val="00800934"/>
    <w:rsid w:val="008010EF"/>
    <w:rsid w:val="00805C20"/>
    <w:rsid w:val="00810660"/>
    <w:rsid w:val="00813F66"/>
    <w:rsid w:val="00823779"/>
    <w:rsid w:val="0082623C"/>
    <w:rsid w:val="008320F8"/>
    <w:rsid w:val="00837997"/>
    <w:rsid w:val="0084043A"/>
    <w:rsid w:val="0084143D"/>
    <w:rsid w:val="008427B9"/>
    <w:rsid w:val="00845210"/>
    <w:rsid w:val="00845A22"/>
    <w:rsid w:val="00853F45"/>
    <w:rsid w:val="00860591"/>
    <w:rsid w:val="008627E2"/>
    <w:rsid w:val="00863E14"/>
    <w:rsid w:val="008645A2"/>
    <w:rsid w:val="00877C5D"/>
    <w:rsid w:val="00880500"/>
    <w:rsid w:val="00880672"/>
    <w:rsid w:val="00883301"/>
    <w:rsid w:val="0089032C"/>
    <w:rsid w:val="00890619"/>
    <w:rsid w:val="00891BC1"/>
    <w:rsid w:val="008927BC"/>
    <w:rsid w:val="00895217"/>
    <w:rsid w:val="00895A43"/>
    <w:rsid w:val="00896CC8"/>
    <w:rsid w:val="00897595"/>
    <w:rsid w:val="008A39D5"/>
    <w:rsid w:val="008A3A0A"/>
    <w:rsid w:val="008A76D2"/>
    <w:rsid w:val="008B44B9"/>
    <w:rsid w:val="008B4FC8"/>
    <w:rsid w:val="008B7192"/>
    <w:rsid w:val="008C0F89"/>
    <w:rsid w:val="008C2A9C"/>
    <w:rsid w:val="008D151B"/>
    <w:rsid w:val="008D16C8"/>
    <w:rsid w:val="008D2A47"/>
    <w:rsid w:val="008D347C"/>
    <w:rsid w:val="008D4A89"/>
    <w:rsid w:val="008D64D0"/>
    <w:rsid w:val="008D7DC5"/>
    <w:rsid w:val="008E3310"/>
    <w:rsid w:val="008E720D"/>
    <w:rsid w:val="008F0815"/>
    <w:rsid w:val="008F0EFC"/>
    <w:rsid w:val="008F1C99"/>
    <w:rsid w:val="008F3BDC"/>
    <w:rsid w:val="008F5AC1"/>
    <w:rsid w:val="00901C7A"/>
    <w:rsid w:val="009058B1"/>
    <w:rsid w:val="00906649"/>
    <w:rsid w:val="009066E9"/>
    <w:rsid w:val="009178F1"/>
    <w:rsid w:val="00921BF3"/>
    <w:rsid w:val="00922C14"/>
    <w:rsid w:val="00925266"/>
    <w:rsid w:val="00927168"/>
    <w:rsid w:val="0093366C"/>
    <w:rsid w:val="00937059"/>
    <w:rsid w:val="0093745A"/>
    <w:rsid w:val="00937669"/>
    <w:rsid w:val="00944D47"/>
    <w:rsid w:val="00954C12"/>
    <w:rsid w:val="0095608F"/>
    <w:rsid w:val="0096000B"/>
    <w:rsid w:val="00962FB3"/>
    <w:rsid w:val="0096410D"/>
    <w:rsid w:val="0096629E"/>
    <w:rsid w:val="00974D61"/>
    <w:rsid w:val="009809D6"/>
    <w:rsid w:val="00981341"/>
    <w:rsid w:val="0098146F"/>
    <w:rsid w:val="00981B80"/>
    <w:rsid w:val="00983A38"/>
    <w:rsid w:val="009866FA"/>
    <w:rsid w:val="0098741B"/>
    <w:rsid w:val="00987AE2"/>
    <w:rsid w:val="0099577D"/>
    <w:rsid w:val="00995C82"/>
    <w:rsid w:val="00997691"/>
    <w:rsid w:val="009A1058"/>
    <w:rsid w:val="009A3D49"/>
    <w:rsid w:val="009A5DED"/>
    <w:rsid w:val="009A6B6A"/>
    <w:rsid w:val="009A6E01"/>
    <w:rsid w:val="009B393E"/>
    <w:rsid w:val="009B3A95"/>
    <w:rsid w:val="009B5434"/>
    <w:rsid w:val="009C05E4"/>
    <w:rsid w:val="009C1EAE"/>
    <w:rsid w:val="009C46E6"/>
    <w:rsid w:val="009C52EB"/>
    <w:rsid w:val="009D0B7A"/>
    <w:rsid w:val="009D0C53"/>
    <w:rsid w:val="009D7BAC"/>
    <w:rsid w:val="009E2568"/>
    <w:rsid w:val="009E484E"/>
    <w:rsid w:val="009E7DDC"/>
    <w:rsid w:val="009F0933"/>
    <w:rsid w:val="009F13A8"/>
    <w:rsid w:val="009F5050"/>
    <w:rsid w:val="00A00BF1"/>
    <w:rsid w:val="00A06979"/>
    <w:rsid w:val="00A10573"/>
    <w:rsid w:val="00A10B35"/>
    <w:rsid w:val="00A11C15"/>
    <w:rsid w:val="00A138D9"/>
    <w:rsid w:val="00A13F8F"/>
    <w:rsid w:val="00A165C0"/>
    <w:rsid w:val="00A21A07"/>
    <w:rsid w:val="00A21BDE"/>
    <w:rsid w:val="00A23781"/>
    <w:rsid w:val="00A23D0B"/>
    <w:rsid w:val="00A24FE7"/>
    <w:rsid w:val="00A254AC"/>
    <w:rsid w:val="00A26668"/>
    <w:rsid w:val="00A26900"/>
    <w:rsid w:val="00A30520"/>
    <w:rsid w:val="00A31BC4"/>
    <w:rsid w:val="00A347B7"/>
    <w:rsid w:val="00A35DB6"/>
    <w:rsid w:val="00A369E2"/>
    <w:rsid w:val="00A40AA9"/>
    <w:rsid w:val="00A40C2B"/>
    <w:rsid w:val="00A410A0"/>
    <w:rsid w:val="00A429F0"/>
    <w:rsid w:val="00A432F1"/>
    <w:rsid w:val="00A51F92"/>
    <w:rsid w:val="00A533AD"/>
    <w:rsid w:val="00A60D3B"/>
    <w:rsid w:val="00A61D62"/>
    <w:rsid w:val="00A63A8A"/>
    <w:rsid w:val="00A650F2"/>
    <w:rsid w:val="00A71357"/>
    <w:rsid w:val="00A7135D"/>
    <w:rsid w:val="00A86139"/>
    <w:rsid w:val="00A8635F"/>
    <w:rsid w:val="00A90125"/>
    <w:rsid w:val="00A90600"/>
    <w:rsid w:val="00A9401A"/>
    <w:rsid w:val="00A949B2"/>
    <w:rsid w:val="00A95535"/>
    <w:rsid w:val="00A95CA3"/>
    <w:rsid w:val="00A96E6C"/>
    <w:rsid w:val="00A97CE4"/>
    <w:rsid w:val="00AA106B"/>
    <w:rsid w:val="00AA11D0"/>
    <w:rsid w:val="00AA24EE"/>
    <w:rsid w:val="00AA5666"/>
    <w:rsid w:val="00AB08DC"/>
    <w:rsid w:val="00AB20DB"/>
    <w:rsid w:val="00AB3D2A"/>
    <w:rsid w:val="00AB5244"/>
    <w:rsid w:val="00AB6DE4"/>
    <w:rsid w:val="00AC0681"/>
    <w:rsid w:val="00AC0C01"/>
    <w:rsid w:val="00AC3477"/>
    <w:rsid w:val="00AC394D"/>
    <w:rsid w:val="00AC4406"/>
    <w:rsid w:val="00AC56B0"/>
    <w:rsid w:val="00AD529D"/>
    <w:rsid w:val="00AD684D"/>
    <w:rsid w:val="00AE7740"/>
    <w:rsid w:val="00AF0162"/>
    <w:rsid w:val="00AF0B1C"/>
    <w:rsid w:val="00AF1E42"/>
    <w:rsid w:val="00AF28F2"/>
    <w:rsid w:val="00AF2A49"/>
    <w:rsid w:val="00AF50C0"/>
    <w:rsid w:val="00AF5659"/>
    <w:rsid w:val="00B0020F"/>
    <w:rsid w:val="00B004B5"/>
    <w:rsid w:val="00B031EF"/>
    <w:rsid w:val="00B0428E"/>
    <w:rsid w:val="00B05BA9"/>
    <w:rsid w:val="00B1003C"/>
    <w:rsid w:val="00B110E8"/>
    <w:rsid w:val="00B12A14"/>
    <w:rsid w:val="00B13768"/>
    <w:rsid w:val="00B13FA1"/>
    <w:rsid w:val="00B14502"/>
    <w:rsid w:val="00B14A18"/>
    <w:rsid w:val="00B155F1"/>
    <w:rsid w:val="00B16F6B"/>
    <w:rsid w:val="00B1732B"/>
    <w:rsid w:val="00B174DA"/>
    <w:rsid w:val="00B30E24"/>
    <w:rsid w:val="00B316EC"/>
    <w:rsid w:val="00B32FCE"/>
    <w:rsid w:val="00B362E6"/>
    <w:rsid w:val="00B36B39"/>
    <w:rsid w:val="00B42635"/>
    <w:rsid w:val="00B42E85"/>
    <w:rsid w:val="00B44810"/>
    <w:rsid w:val="00B4678C"/>
    <w:rsid w:val="00B501B9"/>
    <w:rsid w:val="00B54315"/>
    <w:rsid w:val="00B547E6"/>
    <w:rsid w:val="00B577C5"/>
    <w:rsid w:val="00B63671"/>
    <w:rsid w:val="00B65A2D"/>
    <w:rsid w:val="00B65F66"/>
    <w:rsid w:val="00B70288"/>
    <w:rsid w:val="00B71B52"/>
    <w:rsid w:val="00B767C0"/>
    <w:rsid w:val="00B819F5"/>
    <w:rsid w:val="00B81BDF"/>
    <w:rsid w:val="00B82201"/>
    <w:rsid w:val="00B84DC2"/>
    <w:rsid w:val="00B858BF"/>
    <w:rsid w:val="00B865E9"/>
    <w:rsid w:val="00B903CE"/>
    <w:rsid w:val="00B90439"/>
    <w:rsid w:val="00B90A53"/>
    <w:rsid w:val="00B93CCC"/>
    <w:rsid w:val="00B949B1"/>
    <w:rsid w:val="00BA0041"/>
    <w:rsid w:val="00BA182D"/>
    <w:rsid w:val="00BA2537"/>
    <w:rsid w:val="00BA2603"/>
    <w:rsid w:val="00BB104D"/>
    <w:rsid w:val="00BB10D0"/>
    <w:rsid w:val="00BB1117"/>
    <w:rsid w:val="00BB1788"/>
    <w:rsid w:val="00BB561D"/>
    <w:rsid w:val="00BB57A4"/>
    <w:rsid w:val="00BC6791"/>
    <w:rsid w:val="00BC7D44"/>
    <w:rsid w:val="00BD666D"/>
    <w:rsid w:val="00BD6C08"/>
    <w:rsid w:val="00BD7E13"/>
    <w:rsid w:val="00BE4D3C"/>
    <w:rsid w:val="00BE4D5D"/>
    <w:rsid w:val="00BE552F"/>
    <w:rsid w:val="00BE7544"/>
    <w:rsid w:val="00BE79F6"/>
    <w:rsid w:val="00BF4641"/>
    <w:rsid w:val="00BF6D36"/>
    <w:rsid w:val="00C0390C"/>
    <w:rsid w:val="00C04229"/>
    <w:rsid w:val="00C07D8A"/>
    <w:rsid w:val="00C11660"/>
    <w:rsid w:val="00C13D0B"/>
    <w:rsid w:val="00C14791"/>
    <w:rsid w:val="00C14AC8"/>
    <w:rsid w:val="00C15E02"/>
    <w:rsid w:val="00C17344"/>
    <w:rsid w:val="00C20EEC"/>
    <w:rsid w:val="00C22DA8"/>
    <w:rsid w:val="00C23776"/>
    <w:rsid w:val="00C238B6"/>
    <w:rsid w:val="00C31196"/>
    <w:rsid w:val="00C328F0"/>
    <w:rsid w:val="00C3437F"/>
    <w:rsid w:val="00C34F46"/>
    <w:rsid w:val="00C3532A"/>
    <w:rsid w:val="00C43389"/>
    <w:rsid w:val="00C43DCB"/>
    <w:rsid w:val="00C44019"/>
    <w:rsid w:val="00C45F55"/>
    <w:rsid w:val="00C464B0"/>
    <w:rsid w:val="00C46684"/>
    <w:rsid w:val="00C504B2"/>
    <w:rsid w:val="00C5052C"/>
    <w:rsid w:val="00C5122E"/>
    <w:rsid w:val="00C54242"/>
    <w:rsid w:val="00C554BD"/>
    <w:rsid w:val="00C56831"/>
    <w:rsid w:val="00C56979"/>
    <w:rsid w:val="00C6347E"/>
    <w:rsid w:val="00C65D51"/>
    <w:rsid w:val="00C67D20"/>
    <w:rsid w:val="00C73E35"/>
    <w:rsid w:val="00C7594E"/>
    <w:rsid w:val="00C76633"/>
    <w:rsid w:val="00C76C28"/>
    <w:rsid w:val="00C76C2E"/>
    <w:rsid w:val="00C82497"/>
    <w:rsid w:val="00C87922"/>
    <w:rsid w:val="00C87C8F"/>
    <w:rsid w:val="00C911E1"/>
    <w:rsid w:val="00C92B6D"/>
    <w:rsid w:val="00C93EE5"/>
    <w:rsid w:val="00C964C2"/>
    <w:rsid w:val="00CA3499"/>
    <w:rsid w:val="00CB292B"/>
    <w:rsid w:val="00CB41A7"/>
    <w:rsid w:val="00CB4540"/>
    <w:rsid w:val="00CB6B8F"/>
    <w:rsid w:val="00CC4696"/>
    <w:rsid w:val="00CD0271"/>
    <w:rsid w:val="00CD1580"/>
    <w:rsid w:val="00CD1765"/>
    <w:rsid w:val="00CD2496"/>
    <w:rsid w:val="00CD24AA"/>
    <w:rsid w:val="00CD3FF3"/>
    <w:rsid w:val="00CD6CC8"/>
    <w:rsid w:val="00CE111A"/>
    <w:rsid w:val="00CE136A"/>
    <w:rsid w:val="00CE6D54"/>
    <w:rsid w:val="00CF3813"/>
    <w:rsid w:val="00CF3C11"/>
    <w:rsid w:val="00CF4491"/>
    <w:rsid w:val="00CF518E"/>
    <w:rsid w:val="00D04503"/>
    <w:rsid w:val="00D15734"/>
    <w:rsid w:val="00D22F56"/>
    <w:rsid w:val="00D2310F"/>
    <w:rsid w:val="00D23BB3"/>
    <w:rsid w:val="00D37135"/>
    <w:rsid w:val="00D3716F"/>
    <w:rsid w:val="00D37FE7"/>
    <w:rsid w:val="00D41B53"/>
    <w:rsid w:val="00D41BE4"/>
    <w:rsid w:val="00D430AA"/>
    <w:rsid w:val="00D45DDF"/>
    <w:rsid w:val="00D477BB"/>
    <w:rsid w:val="00D50AD6"/>
    <w:rsid w:val="00D50B0F"/>
    <w:rsid w:val="00D52005"/>
    <w:rsid w:val="00D522CD"/>
    <w:rsid w:val="00D52781"/>
    <w:rsid w:val="00D52915"/>
    <w:rsid w:val="00D536DE"/>
    <w:rsid w:val="00D61BA6"/>
    <w:rsid w:val="00D64BB6"/>
    <w:rsid w:val="00D64EDD"/>
    <w:rsid w:val="00D650C0"/>
    <w:rsid w:val="00D67C1A"/>
    <w:rsid w:val="00D70ECE"/>
    <w:rsid w:val="00D72677"/>
    <w:rsid w:val="00D74A14"/>
    <w:rsid w:val="00D77874"/>
    <w:rsid w:val="00D86CAB"/>
    <w:rsid w:val="00D9138F"/>
    <w:rsid w:val="00D9275F"/>
    <w:rsid w:val="00D9284B"/>
    <w:rsid w:val="00DA1CEC"/>
    <w:rsid w:val="00DA7226"/>
    <w:rsid w:val="00DA7B07"/>
    <w:rsid w:val="00DB122F"/>
    <w:rsid w:val="00DB391A"/>
    <w:rsid w:val="00DB3FEC"/>
    <w:rsid w:val="00DC10AA"/>
    <w:rsid w:val="00DC1817"/>
    <w:rsid w:val="00DC2126"/>
    <w:rsid w:val="00DC2DB8"/>
    <w:rsid w:val="00DC3AEA"/>
    <w:rsid w:val="00DC4FE0"/>
    <w:rsid w:val="00DD108F"/>
    <w:rsid w:val="00DD3157"/>
    <w:rsid w:val="00DD42A9"/>
    <w:rsid w:val="00DD534C"/>
    <w:rsid w:val="00DD5531"/>
    <w:rsid w:val="00DE06F5"/>
    <w:rsid w:val="00DF062D"/>
    <w:rsid w:val="00DF1A1E"/>
    <w:rsid w:val="00DF37AE"/>
    <w:rsid w:val="00DF5B3F"/>
    <w:rsid w:val="00E02BB2"/>
    <w:rsid w:val="00E0442F"/>
    <w:rsid w:val="00E06505"/>
    <w:rsid w:val="00E0704D"/>
    <w:rsid w:val="00E070D7"/>
    <w:rsid w:val="00E07AC0"/>
    <w:rsid w:val="00E14047"/>
    <w:rsid w:val="00E20DF3"/>
    <w:rsid w:val="00E20E5E"/>
    <w:rsid w:val="00E269B0"/>
    <w:rsid w:val="00E27B9D"/>
    <w:rsid w:val="00E31466"/>
    <w:rsid w:val="00E3469D"/>
    <w:rsid w:val="00E40A0F"/>
    <w:rsid w:val="00E41012"/>
    <w:rsid w:val="00E41224"/>
    <w:rsid w:val="00E4471E"/>
    <w:rsid w:val="00E4498D"/>
    <w:rsid w:val="00E46F8D"/>
    <w:rsid w:val="00E527F7"/>
    <w:rsid w:val="00E52C8E"/>
    <w:rsid w:val="00E56659"/>
    <w:rsid w:val="00E56882"/>
    <w:rsid w:val="00E66E69"/>
    <w:rsid w:val="00E671C7"/>
    <w:rsid w:val="00E72FBD"/>
    <w:rsid w:val="00E743AB"/>
    <w:rsid w:val="00E74E0A"/>
    <w:rsid w:val="00E862C2"/>
    <w:rsid w:val="00E910E4"/>
    <w:rsid w:val="00E915EE"/>
    <w:rsid w:val="00E92691"/>
    <w:rsid w:val="00E930D7"/>
    <w:rsid w:val="00E93313"/>
    <w:rsid w:val="00E938DE"/>
    <w:rsid w:val="00EA0E4F"/>
    <w:rsid w:val="00EA1502"/>
    <w:rsid w:val="00EA1BD1"/>
    <w:rsid w:val="00EA3622"/>
    <w:rsid w:val="00EA36C1"/>
    <w:rsid w:val="00EA44FD"/>
    <w:rsid w:val="00EA4C36"/>
    <w:rsid w:val="00EA6CEC"/>
    <w:rsid w:val="00EA70F9"/>
    <w:rsid w:val="00EB0C4F"/>
    <w:rsid w:val="00EB5E75"/>
    <w:rsid w:val="00EC5063"/>
    <w:rsid w:val="00EC5F5C"/>
    <w:rsid w:val="00EC6655"/>
    <w:rsid w:val="00ED40D6"/>
    <w:rsid w:val="00ED4CA5"/>
    <w:rsid w:val="00EE4339"/>
    <w:rsid w:val="00EE5364"/>
    <w:rsid w:val="00EF05AF"/>
    <w:rsid w:val="00EF3F37"/>
    <w:rsid w:val="00F015C1"/>
    <w:rsid w:val="00F05E4A"/>
    <w:rsid w:val="00F070F4"/>
    <w:rsid w:val="00F153CF"/>
    <w:rsid w:val="00F30C34"/>
    <w:rsid w:val="00F310FA"/>
    <w:rsid w:val="00F34E9F"/>
    <w:rsid w:val="00F37CE6"/>
    <w:rsid w:val="00F400E9"/>
    <w:rsid w:val="00F44347"/>
    <w:rsid w:val="00F52E79"/>
    <w:rsid w:val="00F56ABA"/>
    <w:rsid w:val="00F5726A"/>
    <w:rsid w:val="00F60B4B"/>
    <w:rsid w:val="00F66336"/>
    <w:rsid w:val="00F67B10"/>
    <w:rsid w:val="00F711D0"/>
    <w:rsid w:val="00F71239"/>
    <w:rsid w:val="00F7128C"/>
    <w:rsid w:val="00F71B4C"/>
    <w:rsid w:val="00F733D4"/>
    <w:rsid w:val="00F754F5"/>
    <w:rsid w:val="00F80248"/>
    <w:rsid w:val="00F81C3A"/>
    <w:rsid w:val="00F83773"/>
    <w:rsid w:val="00F83B0F"/>
    <w:rsid w:val="00F90986"/>
    <w:rsid w:val="00F9262D"/>
    <w:rsid w:val="00F93F58"/>
    <w:rsid w:val="00F955D2"/>
    <w:rsid w:val="00FA0AA8"/>
    <w:rsid w:val="00FA0F42"/>
    <w:rsid w:val="00FA70EC"/>
    <w:rsid w:val="00FA7F4A"/>
    <w:rsid w:val="00FB15F5"/>
    <w:rsid w:val="00FB71BA"/>
    <w:rsid w:val="00FC074E"/>
    <w:rsid w:val="00FC149A"/>
    <w:rsid w:val="00FC1C2C"/>
    <w:rsid w:val="00FC3674"/>
    <w:rsid w:val="00FC5A8E"/>
    <w:rsid w:val="00FC5EF1"/>
    <w:rsid w:val="00FD0C1B"/>
    <w:rsid w:val="00FD101F"/>
    <w:rsid w:val="00FD129A"/>
    <w:rsid w:val="00FD7A09"/>
    <w:rsid w:val="00FE2D2A"/>
    <w:rsid w:val="00FE584B"/>
    <w:rsid w:val="00FE5A31"/>
    <w:rsid w:val="00FE6624"/>
    <w:rsid w:val="00FF066F"/>
    <w:rsid w:val="00FF1607"/>
    <w:rsid w:val="00FF250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2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2"/>
      </w:numPr>
      <w:spacing w:before="240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2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1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3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4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4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3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5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6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8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paragraph" w:customStyle="1" w:styleId="Psm">
    <w:name w:val="Písm."/>
    <w:basedOn w:val="Normln"/>
    <w:link w:val="PsmChar"/>
    <w:uiPriority w:val="5"/>
    <w:qFormat/>
    <w:rsid w:val="00394B2E"/>
    <w:pPr>
      <w:spacing w:line="240" w:lineRule="auto"/>
      <w:ind w:left="2880" w:hanging="360"/>
    </w:pPr>
    <w:rPr>
      <w:rFonts w:ascii="Times New Roman" w:hAnsi="Times New Roman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394B2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hyperlink" Target="http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nb.cz/cs/financni-trhy/devizovy-trh/kurzy-devizoveho-trhu/kurzy-devizoveho-trh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te-cr.cz/pubweb/attachments/62_162/2022/Rocni_zprava_o_trhu_2022_V0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ria.kopecka@havelpartners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yperlink" Target="file:///C:\Users\maria.kopecka\AppData\Local\Microsoft\Windows\INetCache\Content.Outlook\SJM3Z0P4\josephine.proebiz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4949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Sexy Bosorka</cp:lastModifiedBy>
  <cp:revision>7</cp:revision>
  <cp:lastPrinted>2021-07-21T13:57:00Z</cp:lastPrinted>
  <dcterms:created xsi:type="dcterms:W3CDTF">2022-11-21T12:58:00Z</dcterms:created>
  <dcterms:modified xsi:type="dcterms:W3CDTF">2022-11-21T13:01:00Z</dcterms:modified>
</cp:coreProperties>
</file>