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bookmarkStart w:id="0" w:name="_GoBack"/>
      <w:bookmarkEnd w:id="0"/>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173035"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3</w:t>
      </w:r>
      <w:r w:rsidR="008D731F">
        <w:rPr>
          <w:rFonts w:ascii="Times New Roman" w:hAnsi="Times New Roman"/>
          <w:b/>
          <w:bCs/>
          <w:sz w:val="24"/>
          <w:szCs w:val="32"/>
        </w:rPr>
        <w:t>5</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8D731F" w:rsidRPr="008D731F">
        <w:rPr>
          <w:rFonts w:ascii="Times New Roman" w:hAnsi="Times New Roman"/>
          <w:b/>
          <w:bCs/>
          <w:sz w:val="32"/>
          <w:szCs w:val="32"/>
        </w:rPr>
        <w:t>Silnice III/29029 Jablonec nad Nisou (ulice U Přehrady), rekonstrukce silnice</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3</w:t>
            </w:r>
            <w:r w:rsidRPr="00C73EE3">
              <w:rPr>
                <w:rFonts w:ascii="Times New Roman" w:hAnsi="Times New Roman"/>
                <w:noProof/>
                <w:webHidden/>
                <w:sz w:val="24"/>
                <w:szCs w:val="24"/>
              </w:rPr>
              <w:fldChar w:fldCharType="end"/>
            </w:r>
          </w:hyperlink>
        </w:p>
        <w:p w:rsidR="00251681" w:rsidRPr="00C73EE3" w:rsidRDefault="00B60CF7">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6</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9</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9</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11</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13</w:t>
            </w:r>
            <w:r w:rsidR="00251681" w:rsidRPr="00C73EE3">
              <w:rPr>
                <w:rFonts w:ascii="Times New Roman" w:hAnsi="Times New Roman"/>
                <w:noProof/>
                <w:webHidden/>
                <w:sz w:val="24"/>
                <w:szCs w:val="24"/>
              </w:rPr>
              <w:fldChar w:fldCharType="end"/>
            </w:r>
          </w:hyperlink>
        </w:p>
        <w:p w:rsidR="00251681" w:rsidRPr="00C73EE3" w:rsidRDefault="00B60CF7">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8D731F">
              <w:rPr>
                <w:rFonts w:ascii="Times New Roman" w:hAnsi="Times New Roman"/>
                <w:noProof/>
                <w:webHidden/>
                <w:sz w:val="24"/>
                <w:szCs w:val="24"/>
              </w:rPr>
              <w:t>14</w:t>
            </w:r>
            <w:r w:rsidR="00251681" w:rsidRPr="00C73EE3">
              <w:rPr>
                <w:rFonts w:ascii="Times New Roman" w:hAnsi="Times New Roman"/>
                <w:noProof/>
                <w:webHidden/>
                <w:sz w:val="24"/>
                <w:szCs w:val="24"/>
              </w:rPr>
              <w:fldChar w:fldCharType="end"/>
            </w:r>
          </w:hyperlink>
        </w:p>
        <w:p w:rsidR="00251681" w:rsidRDefault="00251681">
          <w:r w:rsidRPr="00C73EE3">
            <w:rPr>
              <w:rFonts w:ascii="Times New Roman" w:hAnsi="Times New Roman"/>
              <w:b/>
              <w:bCs/>
              <w:sz w:val="24"/>
              <w:szCs w:val="24"/>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Pr="00406D35" w:rsidRDefault="00B844A1" w:rsidP="00D239D8">
      <w:pPr>
        <w:pStyle w:val="Bezmezer"/>
        <w:spacing w:after="240"/>
        <w:jc w:val="both"/>
        <w:rPr>
          <w:rFonts w:ascii="Times New Roman" w:hAnsi="Times New Roman"/>
          <w:sz w:val="24"/>
          <w:szCs w:val="24"/>
        </w:rPr>
      </w:pPr>
    </w:p>
    <w:p w:rsidR="009231D6" w:rsidRPr="00406D35" w:rsidRDefault="009231D6" w:rsidP="00AE3392">
      <w:pPr>
        <w:pStyle w:val="Nadpis1"/>
        <w:numPr>
          <w:ilvl w:val="0"/>
          <w:numId w:val="32"/>
        </w:numPr>
      </w:pPr>
      <w:bookmarkStart w:id="1" w:name="_Toc536085082"/>
      <w:r w:rsidRPr="00406D35">
        <w:lastRenderedPageBreak/>
        <w:t>Identifikační údaje veřejného zadavatele</w:t>
      </w:r>
      <w:bookmarkEnd w:id="1"/>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w:t>
      </w:r>
      <w:r w:rsidR="008D731F">
        <w:rPr>
          <w:rFonts w:ascii="Times New Roman" w:hAnsi="Times New Roman"/>
          <w:sz w:val="24"/>
        </w:rPr>
        <w:t xml:space="preserve"> </w:t>
      </w:r>
      <w:r w:rsidRPr="00406D35">
        <w:rPr>
          <w:rFonts w:ascii="Times New Roman" w:hAnsi="Times New Roman"/>
          <w:sz w:val="24"/>
        </w:rPr>
        <w:t>46</w:t>
      </w:r>
      <w:r w:rsidR="008D731F">
        <w:rPr>
          <w:rFonts w:ascii="Times New Roman" w:hAnsi="Times New Roman"/>
          <w:sz w:val="24"/>
        </w:rPr>
        <w:t xml:space="preserve"> </w:t>
      </w:r>
      <w:r w:rsidRPr="00406D35">
        <w:rPr>
          <w:rFonts w:ascii="Times New Roman" w:hAnsi="Times New Roman"/>
          <w:sz w:val="24"/>
        </w:rPr>
        <w:t>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2"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2"/>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3" w:name="_Toc536085084"/>
      <w:r w:rsidRPr="00AE3392">
        <w:rPr>
          <w:sz w:val="24"/>
        </w:rPr>
        <w:t xml:space="preserve">Průzkumy </w:t>
      </w:r>
      <w:r w:rsidR="008876E1" w:rsidRPr="00AE3392">
        <w:rPr>
          <w:sz w:val="24"/>
        </w:rPr>
        <w:t>a </w:t>
      </w:r>
      <w:r w:rsidRPr="00AE3392">
        <w:rPr>
          <w:sz w:val="24"/>
        </w:rPr>
        <w:t xml:space="preserve"> zaměření</w:t>
      </w:r>
      <w:bookmarkEnd w:id="3"/>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4" w:name="_Toc536085085"/>
      <w:r w:rsidRPr="00AE3392">
        <w:rPr>
          <w:sz w:val="24"/>
        </w:rPr>
        <w:t xml:space="preserve">Projektová dokumentace </w:t>
      </w:r>
      <w:bookmarkEnd w:id="4"/>
      <w:r w:rsidR="008D731F" w:rsidRPr="008D731F">
        <w:rPr>
          <w:sz w:val="24"/>
        </w:rPr>
        <w:t>pro vydání společného povolení v podrobnosti dokumentace k provádění stavby (DUSP/PDPS)</w:t>
      </w:r>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5" w:name="_Toc349419425"/>
      <w:bookmarkStart w:id="6" w:name="_Toc536085086"/>
      <w:r w:rsidRPr="00AE3392">
        <w:rPr>
          <w:sz w:val="24"/>
        </w:rPr>
        <w:t xml:space="preserve">Inženýrská činnost </w:t>
      </w:r>
      <w:r w:rsidR="008876E1" w:rsidRPr="00AE3392">
        <w:rPr>
          <w:sz w:val="24"/>
        </w:rPr>
        <w:t>a </w:t>
      </w:r>
      <w:r w:rsidRPr="00AE3392">
        <w:rPr>
          <w:sz w:val="24"/>
        </w:rPr>
        <w:t xml:space="preserve"> </w:t>
      </w:r>
      <w:bookmarkEnd w:id="5"/>
      <w:r w:rsidR="009E6749" w:rsidRPr="00AE3392">
        <w:rPr>
          <w:sz w:val="24"/>
        </w:rPr>
        <w:t>zajištění povolení stavby</w:t>
      </w:r>
      <w:bookmarkEnd w:id="6"/>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7" w:name="_Toc536085087"/>
      <w:r w:rsidRPr="00AE3392">
        <w:rPr>
          <w:sz w:val="24"/>
        </w:rPr>
        <w:t>Autorský dozor během realizace akce</w:t>
      </w:r>
      <w:bookmarkEnd w:id="7"/>
    </w:p>
    <w:p w:rsidR="009E6749" w:rsidRDefault="009E6749" w:rsidP="009E6749">
      <w:pPr>
        <w:pStyle w:val="Nzev"/>
        <w:spacing w:after="240"/>
        <w:jc w:val="both"/>
        <w:rPr>
          <w:rFonts w:ascii="Times New Roman" w:hAnsi="Times New Roman"/>
          <w:b w:val="0"/>
          <w:sz w:val="24"/>
          <w:szCs w:val="22"/>
          <w:lang w:val="cs-CZ"/>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8" w:name="_Toc536085088"/>
      <w:r w:rsidRPr="00AE3392">
        <w:lastRenderedPageBreak/>
        <w:t>Doba realizace</w:t>
      </w:r>
      <w:r w:rsidR="00FF6D57" w:rsidRPr="00AE3392">
        <w:t xml:space="preserve"> zakázky</w:t>
      </w:r>
      <w:bookmarkEnd w:id="8"/>
    </w:p>
    <w:p w:rsidR="00173035" w:rsidRDefault="00E9736E" w:rsidP="00173035">
      <w:pPr>
        <w:jc w:val="both"/>
        <w:rPr>
          <w:rFonts w:ascii="Times New Roman" w:hAnsi="Times New Roman"/>
          <w:b/>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00173035">
        <w:rPr>
          <w:rFonts w:ascii="Times New Roman" w:hAnsi="Times New Roman"/>
          <w:b/>
          <w:sz w:val="24"/>
        </w:rPr>
        <w:t xml:space="preserve">: </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75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w:t>
            </w:r>
            <w:r w:rsidR="008D731F">
              <w:rPr>
                <w:rFonts w:ascii="Times New Roman" w:hAnsi="Times New Roman"/>
                <w:sz w:val="24"/>
              </w:rPr>
              <w:t>:</w:t>
            </w:r>
            <w:r w:rsidRPr="00406D35">
              <w:rPr>
                <w:rFonts w:ascii="Times New Roman" w:hAnsi="Times New Roman"/>
                <w:sz w:val="24"/>
              </w:rPr>
              <w:t xml:space="preserve"> </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8D731F">
            <w:pPr>
              <w:spacing w:after="0" w:line="240" w:lineRule="auto"/>
              <w:rPr>
                <w:rFonts w:ascii="Times New Roman" w:hAnsi="Times New Roman"/>
                <w:sz w:val="24"/>
              </w:rPr>
            </w:pPr>
            <w:r w:rsidRPr="00406D35">
              <w:rPr>
                <w:rFonts w:ascii="Times New Roman" w:hAnsi="Times New Roman"/>
                <w:sz w:val="24"/>
              </w:rPr>
              <w:t xml:space="preserve">do </w:t>
            </w:r>
            <w:r w:rsidR="00173035">
              <w:rPr>
                <w:rFonts w:ascii="Times New Roman" w:hAnsi="Times New Roman"/>
                <w:sz w:val="24"/>
              </w:rPr>
              <w:t>1</w:t>
            </w:r>
            <w:r w:rsidR="008D731F">
              <w:rPr>
                <w:rFonts w:ascii="Times New Roman" w:hAnsi="Times New Roman"/>
                <w:sz w:val="24"/>
              </w:rPr>
              <w:t>8</w:t>
            </w:r>
            <w:r w:rsidR="00173035">
              <w:rPr>
                <w:rFonts w:ascii="Times New Roman" w:hAnsi="Times New Roman"/>
                <w:sz w:val="24"/>
              </w:rPr>
              <w:t>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8D731F" w:rsidRDefault="008D731F" w:rsidP="00D239D8">
            <w:pPr>
              <w:spacing w:after="0" w:line="240" w:lineRule="auto"/>
              <w:rPr>
                <w:rFonts w:ascii="Times New Roman" w:hAnsi="Times New Roman"/>
                <w:sz w:val="24"/>
              </w:rPr>
            </w:pPr>
          </w:p>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8D731F">
            <w:pPr>
              <w:spacing w:after="0" w:line="240" w:lineRule="auto"/>
              <w:rPr>
                <w:rFonts w:ascii="Times New Roman" w:hAnsi="Times New Roman"/>
                <w:sz w:val="24"/>
              </w:rPr>
            </w:pPr>
            <w:r w:rsidRPr="00406D35">
              <w:rPr>
                <w:rFonts w:ascii="Times New Roman" w:hAnsi="Times New Roman"/>
                <w:sz w:val="24"/>
              </w:rPr>
              <w:t xml:space="preserve">do </w:t>
            </w:r>
            <w:r w:rsidR="008D731F">
              <w:rPr>
                <w:rFonts w:ascii="Times New Roman" w:hAnsi="Times New Roman"/>
                <w:sz w:val="24"/>
              </w:rPr>
              <w:t>210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8D731F" w:rsidP="001C6BCC">
            <w:pPr>
              <w:spacing w:after="0" w:line="240" w:lineRule="auto"/>
              <w:rPr>
                <w:rFonts w:ascii="Times New Roman" w:hAnsi="Times New Roman"/>
                <w:sz w:val="24"/>
              </w:rPr>
            </w:pPr>
            <w:r>
              <w:rPr>
                <w:rFonts w:ascii="Times New Roman" w:hAnsi="Times New Roman"/>
                <w:sz w:val="24"/>
              </w:rPr>
              <w:t>ve lhůtách správních orgánů</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t>po celou dobu zadávacího řízení na realizace stavby</w:t>
            </w:r>
          </w:p>
        </w:tc>
      </w:tr>
      <w:tr w:rsidR="00AD5D63" w:rsidRPr="00406D35" w:rsidTr="008876E1">
        <w:tc>
          <w:tcPr>
            <w:tcW w:w="4644" w:type="dxa"/>
            <w:shd w:val="clear" w:color="auto" w:fill="auto"/>
          </w:tcPr>
          <w:p w:rsidR="00AD5D63"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p w:rsidR="00173035" w:rsidRPr="00406D35" w:rsidRDefault="00173035" w:rsidP="00D239D8">
            <w:pPr>
              <w:spacing w:after="0" w:line="240" w:lineRule="auto"/>
              <w:rPr>
                <w:rFonts w:ascii="Times New Roman" w:hAnsi="Times New Roman"/>
                <w:sz w:val="24"/>
              </w:rPr>
            </w:pP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9" w:name="_Toc536085089"/>
      <w:r w:rsidRPr="00AE3392">
        <w:t>P</w:t>
      </w:r>
      <w:r w:rsidR="003A6AD1" w:rsidRPr="00AE3392">
        <w:t xml:space="preserve">ředpokládaná hodnota </w:t>
      </w:r>
      <w:r w:rsidR="00723A7F" w:rsidRPr="00AE3392">
        <w:t>veřejné zakázky</w:t>
      </w:r>
      <w:bookmarkEnd w:id="9"/>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8D731F">
        <w:rPr>
          <w:b/>
          <w:sz w:val="24"/>
          <w:szCs w:val="22"/>
        </w:rPr>
        <w:t>692.568</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10" w:name="_Toc536085090"/>
      <w:r w:rsidRPr="00AE3392">
        <w:t xml:space="preserve">Místo plnění </w:t>
      </w:r>
      <w:r w:rsidR="008876E1" w:rsidRPr="00AE3392">
        <w:t>a </w:t>
      </w:r>
      <w:r w:rsidRPr="00AE3392">
        <w:t xml:space="preserve"> prohlídka místa plnění</w:t>
      </w:r>
      <w:bookmarkEnd w:id="10"/>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1" w:name="_Toc536085091"/>
      <w:r w:rsidRPr="00AE3392">
        <w:lastRenderedPageBreak/>
        <w:t>Podmínky poskytnutí zadávací dokumentace</w:t>
      </w:r>
      <w:r w:rsidR="00EE17A6" w:rsidRPr="00AE3392">
        <w:t xml:space="preserve"> </w:t>
      </w:r>
      <w:r w:rsidR="008876E1" w:rsidRPr="00AE3392">
        <w:t>a </w:t>
      </w:r>
      <w:r w:rsidR="00EE17A6" w:rsidRPr="00AE3392">
        <w:t xml:space="preserve"> vysvětlení zadávací dokumentace</w:t>
      </w:r>
      <w:bookmarkEnd w:id="11"/>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2"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2"/>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8D731F">
        <w:rPr>
          <w:rFonts w:ascii="Times New Roman" w:eastAsia="Times New Roman" w:hAnsi="Times New Roman"/>
          <w:b/>
          <w:bCs/>
          <w:sz w:val="24"/>
          <w:lang w:eastAsia="cs-CZ"/>
        </w:rPr>
        <w:t>1</w:t>
      </w:r>
      <w:r w:rsidR="00173035">
        <w:rPr>
          <w:rFonts w:ascii="Times New Roman" w:eastAsia="Times New Roman" w:hAnsi="Times New Roman"/>
          <w:b/>
          <w:bCs/>
          <w:sz w:val="24"/>
          <w:lang w:eastAsia="cs-CZ"/>
        </w:rPr>
        <w:t>5</w:t>
      </w:r>
      <w:r w:rsidR="005B0207" w:rsidRPr="00406D35">
        <w:rPr>
          <w:rFonts w:ascii="Times New Roman" w:eastAsia="Times New Roman" w:hAnsi="Times New Roman"/>
          <w:b/>
          <w:bCs/>
          <w:sz w:val="24"/>
          <w:lang w:eastAsia="cs-CZ"/>
        </w:rPr>
        <w:t xml:space="preserve">. </w:t>
      </w:r>
      <w:r w:rsidR="00C17989">
        <w:rPr>
          <w:rFonts w:ascii="Times New Roman" w:eastAsia="Times New Roman" w:hAnsi="Times New Roman"/>
          <w:b/>
          <w:bCs/>
          <w:sz w:val="24"/>
          <w:lang w:eastAsia="cs-CZ"/>
        </w:rPr>
        <w:t>5</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5B11B5">
        <w:rPr>
          <w:rFonts w:ascii="Times New Roman" w:hAnsi="Times New Roman"/>
          <w:b/>
          <w:sz w:val="24"/>
        </w:rPr>
        <w:t>9</w:t>
      </w:r>
      <w:r w:rsidR="00F52724" w:rsidRPr="00406D35">
        <w:rPr>
          <w:rFonts w:ascii="Times New Roman" w:hAnsi="Times New Roman"/>
          <w:b/>
          <w:sz w:val="24"/>
        </w:rPr>
        <w:t>:</w:t>
      </w:r>
      <w:r w:rsidR="00F76CA1">
        <w:rPr>
          <w:rFonts w:ascii="Times New Roman" w:hAnsi="Times New Roman"/>
          <w:b/>
          <w:sz w:val="24"/>
        </w:rPr>
        <w:t>30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3" w:name="_Toc536085093"/>
      <w:r w:rsidRPr="00AE3392">
        <w:lastRenderedPageBreak/>
        <w:t xml:space="preserve">Požadavky na </w:t>
      </w:r>
      <w:r w:rsidR="00221F78" w:rsidRPr="00AE3392">
        <w:t>prokázání splnění kvalifikace</w:t>
      </w:r>
      <w:bookmarkEnd w:id="13"/>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4" w:name="_Toc536085094"/>
      <w:r w:rsidR="009B1DCF" w:rsidRPr="00AE3392">
        <w:rPr>
          <w:sz w:val="24"/>
        </w:rPr>
        <w:t>Základní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r w:rsidR="008876E1" w:rsidRPr="00406D35">
        <w:rPr>
          <w:rFonts w:ascii="Times New Roman" w:hAnsi="Times New Roman"/>
          <w:sz w:val="24"/>
        </w:rPr>
        <w:t>v </w:t>
      </w:r>
      <w:r w:rsidRPr="00406D35">
        <w:rPr>
          <w:rFonts w:ascii="Times New Roman" w:hAnsi="Times New Roman"/>
          <w:sz w:val="24"/>
        </w:rPr>
        <w:t xml:space="preserve"> nabídce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5" w:name="_Toc536085095"/>
      <w:r w:rsidRPr="00AE3392">
        <w:rPr>
          <w:sz w:val="24"/>
        </w:rPr>
        <w:t>Profesní způsobilost</w:t>
      </w:r>
      <w:bookmarkEnd w:id="15"/>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C36EA2" w:rsidRDefault="006A2309"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6" w:name="_Hlk505330901"/>
      <w:r w:rsidRPr="006222F0">
        <w:rPr>
          <w:rFonts w:ascii="Times New Roman" w:hAnsi="Times New Roman"/>
          <w:sz w:val="24"/>
        </w:rPr>
        <w:t xml:space="preserve">osvědčení </w:t>
      </w:r>
      <w:r w:rsidRPr="006222F0">
        <w:rPr>
          <w:rFonts w:ascii="Times New Roman" w:hAnsi="Times New Roman"/>
          <w:bCs/>
          <w:sz w:val="24"/>
        </w:rPr>
        <w:t xml:space="preserve">autorizovaného inženýra pro </w:t>
      </w:r>
      <w:r w:rsidRPr="006222F0">
        <w:rPr>
          <w:rFonts w:ascii="Times New Roman" w:hAnsi="Times New Roman"/>
          <w:bCs/>
          <w:sz w:val="24"/>
          <w:u w:val="single"/>
        </w:rPr>
        <w:t>obor dopravní stavby</w:t>
      </w:r>
      <w:r w:rsidRPr="006222F0">
        <w:rPr>
          <w:rFonts w:ascii="Times New Roman" w:hAnsi="Times New Roman"/>
          <w:bCs/>
          <w:sz w:val="24"/>
        </w:rPr>
        <w:t xml:space="preserve"> nebo technika </w:t>
      </w:r>
      <w:r w:rsidRPr="006222F0">
        <w:rPr>
          <w:rFonts w:ascii="Times New Roman" w:hAnsi="Times New Roman"/>
          <w:bCs/>
          <w:sz w:val="24"/>
          <w:u w:val="single"/>
        </w:rPr>
        <w:t>pro obor dopravní stavby, nekolejová doprava</w:t>
      </w:r>
      <w:r w:rsidRPr="006222F0">
        <w:rPr>
          <w:rFonts w:ascii="Times New Roman" w:hAnsi="Times New Roman"/>
          <w:bCs/>
          <w:sz w:val="24"/>
        </w:rPr>
        <w:t xml:space="preserve"> a autorizovaného inženýra nebo autorizovaného technika </w:t>
      </w:r>
      <w:r w:rsidRPr="006222F0">
        <w:rPr>
          <w:rFonts w:ascii="Times New Roman" w:hAnsi="Times New Roman"/>
          <w:bCs/>
          <w:sz w:val="24"/>
          <w:u w:val="single"/>
        </w:rPr>
        <w:t xml:space="preserve">pro obor </w:t>
      </w:r>
      <w:r w:rsidRPr="006222F0">
        <w:rPr>
          <w:rFonts w:ascii="Times New Roman" w:hAnsi="Times New Roman"/>
          <w:sz w:val="24"/>
          <w:u w:val="single"/>
        </w:rPr>
        <w:t>mosty a inženýrské konstrukce</w:t>
      </w:r>
      <w:r w:rsidR="00E65FEE" w:rsidRPr="00C36EA2">
        <w:rPr>
          <w:rFonts w:ascii="Times New Roman" w:hAnsi="Times New Roman"/>
          <w:bCs/>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16"/>
      <w:r>
        <w:rPr>
          <w:rFonts w:ascii="Times New Roman" w:hAnsi="Times New Roman"/>
          <w:sz w:val="24"/>
        </w:rPr>
        <w:t xml:space="preserve"> Oba obory mohou být prokázány jednou osobou.</w:t>
      </w:r>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7" w:name="_Toc536085096"/>
      <w:r>
        <w:rPr>
          <w:sz w:val="24"/>
        </w:rPr>
        <w:lastRenderedPageBreak/>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6A2309" w:rsidRPr="006A2309" w:rsidRDefault="006A2309" w:rsidP="006A2309">
      <w:pPr>
        <w:pStyle w:val="Odstavecseseznamem"/>
        <w:numPr>
          <w:ilvl w:val="0"/>
          <w:numId w:val="18"/>
        </w:numPr>
        <w:spacing w:after="0" w:line="240" w:lineRule="auto"/>
        <w:contextualSpacing w:val="0"/>
        <w:jc w:val="both"/>
        <w:rPr>
          <w:rFonts w:ascii="Times New Roman" w:hAnsi="Times New Roman"/>
          <w:sz w:val="24"/>
        </w:rPr>
      </w:pPr>
      <w:r w:rsidRPr="006A2309">
        <w:rPr>
          <w:rFonts w:ascii="Times New Roman" w:hAnsi="Times New Roman"/>
          <w:sz w:val="24"/>
        </w:rPr>
        <w:t xml:space="preserve">min. 1 službu na zpracování projektové dokumentace pro rekonstrukci nebo opravu nebo novostavbu silniční dopravní stavby, s minimální hodnotou této služby ve výši </w:t>
      </w:r>
      <w:r w:rsidR="008D731F">
        <w:rPr>
          <w:rFonts w:ascii="Times New Roman" w:hAnsi="Times New Roman"/>
          <w:sz w:val="24"/>
        </w:rPr>
        <w:t>350</w:t>
      </w:r>
      <w:r w:rsidRPr="006A2309">
        <w:rPr>
          <w:rFonts w:ascii="Times New Roman" w:hAnsi="Times New Roman"/>
          <w:sz w:val="24"/>
        </w:rPr>
        <w:t>.000 Kč bez DPH;</w:t>
      </w:r>
    </w:p>
    <w:p w:rsidR="00F76CA1" w:rsidRPr="006A2309" w:rsidRDefault="006A2309" w:rsidP="006A2309">
      <w:pPr>
        <w:pStyle w:val="Odstavecseseznamem"/>
        <w:numPr>
          <w:ilvl w:val="0"/>
          <w:numId w:val="18"/>
        </w:numPr>
        <w:spacing w:after="0" w:line="240" w:lineRule="auto"/>
        <w:contextualSpacing w:val="0"/>
        <w:jc w:val="both"/>
        <w:rPr>
          <w:rFonts w:ascii="Times New Roman" w:hAnsi="Times New Roman"/>
          <w:sz w:val="24"/>
        </w:rPr>
      </w:pPr>
      <w:r w:rsidRPr="006A2309">
        <w:rPr>
          <w:rFonts w:ascii="Times New Roman" w:hAnsi="Times New Roman"/>
          <w:sz w:val="24"/>
        </w:rPr>
        <w:t xml:space="preserve">min. 1 službu na zpracování projektové dokumentace pro rekonstrukci nebo opravu nebo novostavbu silniční dopravní stavby, která zároveň obsahovala stavební objekt most nebo opěrnou či zárubní zeď, s minimální hodnotou této služby ve výši </w:t>
      </w:r>
      <w:r w:rsidR="008D731F">
        <w:rPr>
          <w:rFonts w:ascii="Times New Roman" w:hAnsi="Times New Roman"/>
          <w:sz w:val="24"/>
        </w:rPr>
        <w:t>350</w:t>
      </w:r>
      <w:r w:rsidRPr="006A2309">
        <w:rPr>
          <w:rFonts w:ascii="Times New Roman" w:hAnsi="Times New Roman"/>
          <w:sz w:val="24"/>
        </w:rPr>
        <w:t>.000 Kč bez DPH.</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8"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8"/>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7"/>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w:t>
      </w:r>
      <w:r w:rsidRPr="00406D35">
        <w:rPr>
          <w:rFonts w:ascii="Times New Roman" w:hAnsi="Times New Roman"/>
          <w:sz w:val="24"/>
        </w:rPr>
        <w:lastRenderedPageBreak/>
        <w:t xml:space="preserve">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9"/>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20"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1" w:name="_Toc536085099"/>
      <w:r w:rsidRPr="00AE3392">
        <w:rPr>
          <w:sz w:val="24"/>
        </w:rPr>
        <w:t>Prokazování kvalifikace prostřednictvím jednotného evropského osvědčení</w:t>
      </w:r>
      <w:bookmarkEnd w:id="21"/>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2" w:name="_Toc536085100"/>
      <w:r w:rsidRPr="00AE3392">
        <w:rPr>
          <w:sz w:val="24"/>
        </w:rPr>
        <w:t xml:space="preserve">Pravost </w:t>
      </w:r>
      <w:r w:rsidR="008876E1" w:rsidRPr="00AE3392">
        <w:rPr>
          <w:sz w:val="24"/>
        </w:rPr>
        <w:t>a </w:t>
      </w:r>
      <w:r w:rsidRPr="00AE3392">
        <w:rPr>
          <w:sz w:val="24"/>
        </w:rPr>
        <w:t xml:space="preserve"> stáří dokladů</w:t>
      </w:r>
      <w:bookmarkEnd w:id="22"/>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3" w:name="_Toc536085101"/>
      <w:r w:rsidRPr="00AE3392">
        <w:lastRenderedPageBreak/>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3"/>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4"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4"/>
      <w:r w:rsidRPr="00AE3392">
        <w:t xml:space="preserve"> </w:t>
      </w:r>
    </w:p>
    <w:p w:rsidR="004010E0" w:rsidRPr="00AE3392" w:rsidRDefault="004010E0" w:rsidP="00AE3392">
      <w:pPr>
        <w:pStyle w:val="Nadpis1"/>
        <w:numPr>
          <w:ilvl w:val="1"/>
          <w:numId w:val="32"/>
        </w:numPr>
        <w:rPr>
          <w:sz w:val="24"/>
        </w:rPr>
      </w:pPr>
      <w:bookmarkStart w:id="25" w:name="_Toc536085103"/>
      <w:r w:rsidRPr="00AE3392">
        <w:rPr>
          <w:sz w:val="24"/>
        </w:rPr>
        <w:t>Požadavky na způsob zpracování nabídkové ceny</w:t>
      </w:r>
      <w:bookmarkEnd w:id="25"/>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lastRenderedPageBreak/>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6"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6"/>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7" w:name="_Toc536085104"/>
      <w:r w:rsidRPr="00AE3392">
        <w:rPr>
          <w:sz w:val="24"/>
        </w:rPr>
        <w:t>Požadavky na způsob zpracování nabídky</w:t>
      </w:r>
      <w:bookmarkEnd w:id="27"/>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lastRenderedPageBreak/>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8" w:name="_Toc536085105"/>
      <w:r w:rsidRPr="00AE3392">
        <w:t>Způsob hodnocení nabídek</w:t>
      </w:r>
      <w:bookmarkEnd w:id="28"/>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8D731F">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8D731F">
        <w:rPr>
          <w:rFonts w:ascii="Times New Roman" w:hAnsi="Times New Roman"/>
          <w:bCs/>
          <w:sz w:val="24"/>
        </w:rPr>
        <w:t>následujících</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56285F" w:rsidRPr="00AE3392" w:rsidRDefault="0056285F" w:rsidP="00AE3392">
      <w:pPr>
        <w:pStyle w:val="Nadpis1"/>
        <w:numPr>
          <w:ilvl w:val="1"/>
          <w:numId w:val="32"/>
        </w:numPr>
        <w:rPr>
          <w:sz w:val="24"/>
        </w:rPr>
      </w:pPr>
      <w:bookmarkStart w:id="29"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173035">
        <w:rPr>
          <w:sz w:val="24"/>
        </w:rPr>
        <w:t xml:space="preserve"> </w:t>
      </w:r>
      <w:r w:rsidRPr="00AE3392">
        <w:rPr>
          <w:sz w:val="24"/>
        </w:rPr>
        <w:t>%</w:t>
      </w:r>
      <w:bookmarkEnd w:id="29"/>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6A2309">
      <w:pPr>
        <w:pStyle w:val="Nadpis1"/>
        <w:numPr>
          <w:ilvl w:val="1"/>
          <w:numId w:val="32"/>
        </w:numPr>
        <w:jc w:val="both"/>
        <w:rPr>
          <w:sz w:val="24"/>
        </w:rPr>
      </w:pPr>
      <w:bookmarkStart w:id="30" w:name="_Toc536085107"/>
      <w:r w:rsidRPr="00AE3392">
        <w:rPr>
          <w:sz w:val="24"/>
        </w:rPr>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006A2309">
        <w:rPr>
          <w:sz w:val="24"/>
        </w:rPr>
        <w:t>5</w:t>
      </w:r>
      <w:r w:rsidRPr="00AE3392">
        <w:rPr>
          <w:sz w:val="24"/>
        </w:rPr>
        <w:t xml:space="preserve"> %</w:t>
      </w:r>
      <w:bookmarkEnd w:id="30"/>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lastRenderedPageBreak/>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6A2309">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1" w:name="_Hlk480980680"/>
            <w:r w:rsidRPr="00406D35">
              <w:rPr>
                <w:rFonts w:ascii="Times New Roman" w:hAnsi="Times New Roman"/>
                <w:b/>
                <w:color w:val="000000"/>
                <w:sz w:val="24"/>
              </w:rPr>
              <w:t>100</w:t>
            </w:r>
          </w:p>
        </w:tc>
        <w:tc>
          <w:tcPr>
            <w:tcW w:w="39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6A2309">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9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6A2309" w:rsidRPr="00AE3392" w:rsidRDefault="006A2309" w:rsidP="006A2309">
      <w:pPr>
        <w:pStyle w:val="Nadpis1"/>
        <w:numPr>
          <w:ilvl w:val="1"/>
          <w:numId w:val="32"/>
        </w:numPr>
        <w:jc w:val="both"/>
        <w:rPr>
          <w:sz w:val="24"/>
        </w:rPr>
      </w:pPr>
      <w:bookmarkStart w:id="32" w:name="_Toc536085108"/>
      <w:bookmarkEnd w:id="31"/>
      <w:r w:rsidRPr="00AE3392">
        <w:rPr>
          <w:sz w:val="24"/>
        </w:rPr>
        <w:t xml:space="preserve">Délka praxe autorizované osoby: </w:t>
      </w:r>
      <w:r w:rsidRPr="006A2309">
        <w:rPr>
          <w:sz w:val="24"/>
        </w:rPr>
        <w:t>mosty a inženýrské konstrukce</w:t>
      </w:r>
      <w:r w:rsidRPr="00AE3392">
        <w:rPr>
          <w:sz w:val="24"/>
        </w:rPr>
        <w:t xml:space="preserve">: váha dílčího kritéria: </w:t>
      </w:r>
      <w:r>
        <w:rPr>
          <w:sz w:val="24"/>
        </w:rPr>
        <w:t>5</w:t>
      </w:r>
      <w:r w:rsidRPr="00AE3392">
        <w:rPr>
          <w:sz w:val="24"/>
        </w:rPr>
        <w:t xml:space="preserve"> % </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color w:val="000000"/>
          <w:sz w:val="24"/>
        </w:rPr>
        <w:t xml:space="preserve">Třetím dílčím kritériem pro hodnocení nabídky je počet měsíců relevantní odborné praxe osoby, kterou účastník prokazuje profesní způsobilost dle § 77 odst. 2 písm. c) </w:t>
      </w:r>
      <w:r w:rsidRPr="006A2309">
        <w:rPr>
          <w:rFonts w:ascii="Times New Roman" w:hAnsi="Times New Roman"/>
          <w:sz w:val="24"/>
        </w:rPr>
        <w:t>Zákona</w:t>
      </w:r>
      <w:r w:rsidRPr="006A2309">
        <w:rPr>
          <w:rFonts w:ascii="Times New Roman" w:hAnsi="Times New Roman"/>
          <w:color w:val="000000"/>
          <w:sz w:val="24"/>
        </w:rPr>
        <w:t xml:space="preserve">: </w:t>
      </w:r>
      <w:r w:rsidRPr="006A2309">
        <w:rPr>
          <w:rFonts w:ascii="Times New Roman" w:hAnsi="Times New Roman"/>
          <w:bCs/>
          <w:sz w:val="24"/>
        </w:rPr>
        <w:t>Autorizovaný inženýr nebo autorizovaný technik pro obor mosty a inženýrské konstrukce.</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bCs/>
          <w:sz w:val="24"/>
        </w:rPr>
        <w:t>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w:t>
      </w:r>
      <w:r w:rsidRPr="006A2309">
        <w:rPr>
          <w:rFonts w:ascii="Times New Roman" w:hAnsi="Times New Roman"/>
          <w:sz w:val="24"/>
        </w:rPr>
        <w:t>o délky relevantní odborné praxe se nezapočítává doba, po kterou byla autorizace pozastavena, ani doba, po kterou byla osoba ze seznamu autorizovaných osob vyškrtnuta.</w:t>
      </w:r>
      <w:r w:rsidRPr="006A2309">
        <w:rPr>
          <w:rFonts w:ascii="Times New Roman" w:hAnsi="Times New Roman"/>
          <w:bCs/>
          <w:sz w:val="24"/>
        </w:rPr>
        <w:t xml:space="preserve"> Pro vyloučení pochybností se uvádí, že má být zohledněna celková doba relevantní praxe autorizované osoby bez ohledu na skutečnost, zda byla autorizovaná činnost prováděna pro účastníka. </w:t>
      </w:r>
    </w:p>
    <w:p w:rsidR="006A2309" w:rsidRPr="006A2309" w:rsidRDefault="006A2309" w:rsidP="006A2309">
      <w:pPr>
        <w:autoSpaceDE w:val="0"/>
        <w:autoSpaceDN w:val="0"/>
        <w:adjustRightInd w:val="0"/>
        <w:spacing w:after="120" w:line="240" w:lineRule="auto"/>
        <w:jc w:val="both"/>
        <w:rPr>
          <w:rFonts w:ascii="Times New Roman" w:hAnsi="Times New Roman"/>
          <w:bCs/>
          <w:sz w:val="24"/>
          <w:u w:val="single"/>
        </w:rPr>
      </w:pPr>
      <w:r w:rsidRPr="006A2309">
        <w:rPr>
          <w:rFonts w:ascii="Times New Roman" w:hAnsi="Times New Roman"/>
          <w:bCs/>
          <w:sz w:val="24"/>
        </w:rPr>
        <w:t>Délku relevantní odborné praxe účastník uvede v čestném prohlášení, jehož vzor je přílohou č. 6 této ZD. Pro vyloučení pochybností zadavatel uvádí, že účastník je oprávněn uvést délku relevantní odborné praxe pouze jedné konkrétní osoby (nelze sčítat délku relevantní odborné praxe více autorizovaných osob).</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bCs/>
          <w:sz w:val="24"/>
        </w:rPr>
        <w:t xml:space="preserve">Dle délky relevantní odborné praxe bude účastníkovi přiřazeno konkrétní bodové ohodnocení dle níže uvedené tabulky: </w:t>
      </w:r>
    </w:p>
    <w:p w:rsidR="006A2309" w:rsidRPr="00406D35" w:rsidRDefault="006A2309" w:rsidP="006A2309">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6A2309" w:rsidRPr="00406D35" w:rsidTr="00354C8F">
        <w:trPr>
          <w:trHeight w:val="1205"/>
          <w:jc w:val="center"/>
        </w:trPr>
        <w:tc>
          <w:tcPr>
            <w:tcW w:w="1300" w:type="dxa"/>
            <w:shd w:val="clear" w:color="auto" w:fill="D9D9D9" w:themeFill="background1" w:themeFillShade="D9"/>
            <w:vAlign w:val="center"/>
          </w:tcPr>
          <w:p w:rsidR="006A2309" w:rsidRPr="00406D35" w:rsidRDefault="006A2309" w:rsidP="00354C8F">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108 měsíců (včetně) a  více</w:t>
            </w:r>
          </w:p>
        </w:tc>
      </w:tr>
      <w:tr w:rsidR="006A2309" w:rsidRPr="00406D35" w:rsidTr="00354C8F">
        <w:trPr>
          <w:trHeight w:val="839"/>
          <w:jc w:val="center"/>
        </w:trPr>
        <w:tc>
          <w:tcPr>
            <w:tcW w:w="1300" w:type="dxa"/>
            <w:shd w:val="clear" w:color="auto" w:fill="D9D9D9" w:themeFill="background1" w:themeFillShade="D9"/>
            <w:vAlign w:val="center"/>
          </w:tcPr>
          <w:p w:rsidR="006A2309" w:rsidRPr="00406D35" w:rsidRDefault="006A2309" w:rsidP="00354C8F">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bodů</w:t>
            </w:r>
          </w:p>
        </w:tc>
        <w:tc>
          <w:tcPr>
            <w:tcW w:w="1520"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6A2309" w:rsidRPr="00406D35" w:rsidRDefault="006A2309" w:rsidP="006A2309">
      <w:pPr>
        <w:autoSpaceDE w:val="0"/>
        <w:autoSpaceDN w:val="0"/>
        <w:adjustRightInd w:val="0"/>
        <w:spacing w:after="120" w:line="240" w:lineRule="auto"/>
        <w:jc w:val="both"/>
        <w:rPr>
          <w:rFonts w:ascii="Times New Roman" w:hAnsi="Times New Roman"/>
          <w:bCs/>
          <w:sz w:val="24"/>
        </w:rPr>
      </w:pPr>
    </w:p>
    <w:p w:rsidR="006A2309" w:rsidRPr="00406D35" w:rsidRDefault="006A2309" w:rsidP="006A2309">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lastRenderedPageBreak/>
        <w:t>Větší počet bodů znamená lepší nabídku. Bodové ohodnocení v rámci dílčího kritéria bude následně přepočteno na 100 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6A2309" w:rsidRPr="00406D35" w:rsidTr="00354C8F">
        <w:trPr>
          <w:trHeight w:val="530"/>
          <w:jc w:val="center"/>
        </w:trPr>
        <w:tc>
          <w:tcPr>
            <w:tcW w:w="636" w:type="dxa"/>
            <w:vMerge w:val="restart"/>
            <w:vAlign w:val="center"/>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100</w:t>
            </w:r>
          </w:p>
        </w:tc>
        <w:tc>
          <w:tcPr>
            <w:tcW w:w="356" w:type="dxa"/>
            <w:vMerge w:val="restart"/>
            <w:vAlign w:val="center"/>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6A2309" w:rsidRPr="00406D35" w:rsidRDefault="006A2309" w:rsidP="00354C8F">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6A2309" w:rsidRPr="00406D35" w:rsidTr="00354C8F">
        <w:trPr>
          <w:trHeight w:val="630"/>
          <w:jc w:val="center"/>
        </w:trPr>
        <w:tc>
          <w:tcPr>
            <w:tcW w:w="636" w:type="dxa"/>
            <w:vMerge/>
          </w:tcPr>
          <w:p w:rsidR="006A2309" w:rsidRPr="00406D35" w:rsidRDefault="006A2309" w:rsidP="00354C8F">
            <w:pPr>
              <w:spacing w:after="120" w:line="240" w:lineRule="auto"/>
              <w:rPr>
                <w:rFonts w:ascii="Times New Roman" w:hAnsi="Times New Roman"/>
                <w:b/>
                <w:color w:val="000000"/>
                <w:sz w:val="24"/>
              </w:rPr>
            </w:pPr>
          </w:p>
        </w:tc>
        <w:tc>
          <w:tcPr>
            <w:tcW w:w="356" w:type="dxa"/>
            <w:vMerge/>
          </w:tcPr>
          <w:p w:rsidR="006A2309" w:rsidRPr="00406D35" w:rsidRDefault="006A2309" w:rsidP="00354C8F">
            <w:pPr>
              <w:spacing w:after="120" w:line="240" w:lineRule="auto"/>
              <w:rPr>
                <w:rFonts w:ascii="Times New Roman" w:hAnsi="Times New Roman"/>
                <w:b/>
                <w:color w:val="000000"/>
                <w:sz w:val="24"/>
              </w:rPr>
            </w:pPr>
          </w:p>
        </w:tc>
        <w:tc>
          <w:tcPr>
            <w:tcW w:w="5593" w:type="dxa"/>
            <w:tcBorders>
              <w:top w:val="single" w:sz="4" w:space="0" w:color="auto"/>
            </w:tcBorders>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body přidělené nabídce (nabídkám) s  nejvyšším počtem bodů</w:t>
            </w:r>
          </w:p>
        </w:tc>
      </w:tr>
    </w:tbl>
    <w:p w:rsidR="00A74C2D" w:rsidRPr="00251681" w:rsidRDefault="00A74C2D" w:rsidP="006A2309">
      <w:pPr>
        <w:pStyle w:val="Nadpis1"/>
        <w:numPr>
          <w:ilvl w:val="1"/>
          <w:numId w:val="32"/>
        </w:numPr>
        <w:jc w:val="both"/>
        <w:rPr>
          <w:sz w:val="24"/>
        </w:rPr>
      </w:pPr>
      <w:r w:rsidRPr="00251681">
        <w:rPr>
          <w:sz w:val="24"/>
        </w:rPr>
        <w:t>Způsob celkového hodnocení</w:t>
      </w:r>
      <w:bookmarkEnd w:id="32"/>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6A2309">
      <w:pPr>
        <w:pStyle w:val="Nadpis1"/>
        <w:numPr>
          <w:ilvl w:val="0"/>
          <w:numId w:val="32"/>
        </w:numPr>
        <w:jc w:val="both"/>
      </w:pPr>
      <w:bookmarkStart w:id="33"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3"/>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4" w:name="_Toc318801848"/>
      <w:bookmarkStart w:id="35" w:name="_Toc298755012"/>
      <w:bookmarkStart w:id="36"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4"/>
      <w:bookmarkEnd w:id="35"/>
      <w:bookmarkEnd w:id="36"/>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6A2309">
      <w:pPr>
        <w:pStyle w:val="Nadpis1"/>
        <w:numPr>
          <w:ilvl w:val="0"/>
          <w:numId w:val="32"/>
        </w:numPr>
        <w:jc w:val="both"/>
      </w:pPr>
      <w:bookmarkStart w:id="37" w:name="_Toc536085110"/>
      <w:r w:rsidRPr="00251681">
        <w:lastRenderedPageBreak/>
        <w:t>Přílohy</w:t>
      </w:r>
      <w:bookmarkEnd w:id="37"/>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8D731F" w:rsidRDefault="008D731F" w:rsidP="00D239D8">
      <w:pPr>
        <w:autoSpaceDE w:val="0"/>
        <w:autoSpaceDN w:val="0"/>
        <w:adjustRightInd w:val="0"/>
        <w:spacing w:after="0" w:line="240" w:lineRule="auto"/>
        <w:jc w:val="both"/>
        <w:rPr>
          <w:rFonts w:ascii="Times New Roman" w:hAnsi="Times New Roman"/>
          <w:color w:val="000000"/>
          <w:sz w:val="24"/>
          <w:szCs w:val="24"/>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8D731F">
        <w:rPr>
          <w:rFonts w:ascii="Times New Roman" w:hAnsi="Times New Roman"/>
          <w:sz w:val="24"/>
          <w:szCs w:val="24"/>
        </w:rPr>
        <w:t>2</w:t>
      </w:r>
      <w:r w:rsidR="00770284">
        <w:rPr>
          <w:rFonts w:ascii="Times New Roman" w:hAnsi="Times New Roman"/>
          <w:sz w:val="24"/>
          <w:szCs w:val="24"/>
        </w:rPr>
        <w:t>4</w:t>
      </w:r>
      <w:r w:rsidR="000841B5">
        <w:rPr>
          <w:rFonts w:ascii="Times New Roman" w:hAnsi="Times New Roman"/>
          <w:sz w:val="24"/>
          <w:szCs w:val="24"/>
        </w:rPr>
        <w:t>.</w:t>
      </w:r>
      <w:r w:rsidR="00BA3AD9" w:rsidRPr="00406D35">
        <w:rPr>
          <w:rFonts w:ascii="Times New Roman" w:hAnsi="Times New Roman"/>
          <w:sz w:val="24"/>
          <w:szCs w:val="24"/>
        </w:rPr>
        <w:t xml:space="preserve"> </w:t>
      </w:r>
      <w:r w:rsidR="00173035">
        <w:rPr>
          <w:rFonts w:ascii="Times New Roman" w:hAnsi="Times New Roman"/>
          <w:sz w:val="24"/>
          <w:szCs w:val="24"/>
        </w:rPr>
        <w:t>4</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8D731F" w:rsidRDefault="00DB3F11" w:rsidP="006A5DAB">
      <w:pPr>
        <w:autoSpaceDE w:val="0"/>
        <w:autoSpaceDN w:val="0"/>
        <w:adjustRightInd w:val="0"/>
        <w:spacing w:after="0" w:line="240" w:lineRule="auto"/>
        <w:jc w:val="both"/>
        <w:rPr>
          <w:rFonts w:ascii="Times New Roman" w:hAnsi="Times New Roman"/>
          <w:b/>
          <w:color w:val="000000"/>
          <w:sz w:val="24"/>
          <w:szCs w:val="24"/>
        </w:rPr>
      </w:pPr>
      <w:r w:rsidRPr="00406D35">
        <w:rPr>
          <w:rFonts w:ascii="Times New Roman" w:hAnsi="Times New Roman"/>
          <w:b/>
          <w:color w:val="000000"/>
          <w:sz w:val="24"/>
          <w:szCs w:val="24"/>
        </w:rPr>
        <w:t>Ing. Jan Růžička</w:t>
      </w:r>
    </w:p>
    <w:p w:rsidR="00B6038D" w:rsidRPr="00406D35" w:rsidRDefault="00826CCA"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CF7" w:rsidRDefault="00B60CF7" w:rsidP="005343A3">
      <w:pPr>
        <w:spacing w:after="0" w:line="240" w:lineRule="auto"/>
      </w:pPr>
      <w:r>
        <w:separator/>
      </w:r>
    </w:p>
  </w:endnote>
  <w:endnote w:type="continuationSeparator" w:id="0">
    <w:p w:rsidR="00B60CF7" w:rsidRDefault="00B60CF7" w:rsidP="005343A3">
      <w:pPr>
        <w:spacing w:after="0" w:line="240" w:lineRule="auto"/>
      </w:pPr>
      <w:r>
        <w:continuationSeparator/>
      </w:r>
    </w:p>
  </w:endnote>
  <w:endnote w:type="continuationNotice" w:id="1">
    <w:p w:rsidR="00B60CF7" w:rsidRDefault="00B60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C17989">
      <w:rPr>
        <w:rFonts w:ascii="Times New Roman" w:hAnsi="Times New Roman"/>
        <w:noProof/>
        <w:sz w:val="18"/>
        <w:szCs w:val="18"/>
      </w:rPr>
      <w:t>5</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CF7" w:rsidRDefault="00B60CF7" w:rsidP="005343A3">
      <w:pPr>
        <w:spacing w:after="0" w:line="240" w:lineRule="auto"/>
      </w:pPr>
      <w:r>
        <w:separator/>
      </w:r>
    </w:p>
  </w:footnote>
  <w:footnote w:type="continuationSeparator" w:id="0">
    <w:p w:rsidR="00B60CF7" w:rsidRDefault="00B60CF7" w:rsidP="005343A3">
      <w:pPr>
        <w:spacing w:after="0" w:line="240" w:lineRule="auto"/>
      </w:pPr>
      <w:r>
        <w:continuationSeparator/>
      </w:r>
    </w:p>
  </w:footnote>
  <w:footnote w:type="continuationNotice" w:id="1">
    <w:p w:rsidR="00B60CF7" w:rsidRDefault="00B60C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8"/>
  </w:num>
  <w:num w:numId="2">
    <w:abstractNumId w:val="20"/>
  </w:num>
  <w:num w:numId="3">
    <w:abstractNumId w:val="23"/>
  </w:num>
  <w:num w:numId="4">
    <w:abstractNumId w:val="11"/>
  </w:num>
  <w:num w:numId="5">
    <w:abstractNumId w:val="9"/>
  </w:num>
  <w:num w:numId="6">
    <w:abstractNumId w:val="4"/>
  </w:num>
  <w:num w:numId="7">
    <w:abstractNumId w:val="30"/>
  </w:num>
  <w:num w:numId="8">
    <w:abstractNumId w:val="27"/>
  </w:num>
  <w:num w:numId="9">
    <w:abstractNumId w:val="3"/>
  </w:num>
  <w:num w:numId="10">
    <w:abstractNumId w:val="16"/>
  </w:num>
  <w:num w:numId="11">
    <w:abstractNumId w:val="29"/>
  </w:num>
  <w:num w:numId="12">
    <w:abstractNumId w:val="22"/>
  </w:num>
  <w:num w:numId="13">
    <w:abstractNumId w:val="22"/>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3"/>
  </w:num>
  <w:num w:numId="15">
    <w:abstractNumId w:val="0"/>
  </w:num>
  <w:num w:numId="16">
    <w:abstractNumId w:val="15"/>
  </w:num>
  <w:num w:numId="17">
    <w:abstractNumId w:val="14"/>
  </w:num>
  <w:num w:numId="18">
    <w:abstractNumId w:val="10"/>
  </w:num>
  <w:num w:numId="19">
    <w:abstractNumId w:val="1"/>
  </w:num>
  <w:num w:numId="20">
    <w:abstractNumId w:val="19"/>
  </w:num>
  <w:num w:numId="21">
    <w:abstractNumId w:val="8"/>
  </w:num>
  <w:num w:numId="22">
    <w:abstractNumId w:val="2"/>
  </w:num>
  <w:num w:numId="23">
    <w:abstractNumId w:val="26"/>
  </w:num>
  <w:num w:numId="24">
    <w:abstractNumId w:val="17"/>
  </w:num>
  <w:num w:numId="25">
    <w:abstractNumId w:val="31"/>
  </w:num>
  <w:num w:numId="26">
    <w:abstractNumId w:val="5"/>
  </w:num>
  <w:num w:numId="27">
    <w:abstractNumId w:val="7"/>
  </w:num>
  <w:num w:numId="28">
    <w:abstractNumId w:val="18"/>
  </w:num>
  <w:num w:numId="29">
    <w:abstractNumId w:val="21"/>
  </w:num>
  <w:num w:numId="30">
    <w:abstractNumId w:val="24"/>
  </w:num>
  <w:num w:numId="31">
    <w:abstractNumId w:val="12"/>
  </w:num>
  <w:num w:numId="32">
    <w:abstractNumId w:val="25"/>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035"/>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309"/>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284"/>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88F"/>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03C"/>
    <w:rsid w:val="008D4764"/>
    <w:rsid w:val="008D53C5"/>
    <w:rsid w:val="008D731F"/>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2A1F"/>
    <w:rsid w:val="009A472A"/>
    <w:rsid w:val="009A4BB1"/>
    <w:rsid w:val="009A4C94"/>
    <w:rsid w:val="009A543A"/>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0CF7"/>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44A1"/>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17989"/>
    <w:rsid w:val="00C22031"/>
    <w:rsid w:val="00C251E8"/>
    <w:rsid w:val="00C26E34"/>
    <w:rsid w:val="00C31801"/>
    <w:rsid w:val="00C31DD6"/>
    <w:rsid w:val="00C32196"/>
    <w:rsid w:val="00C342DF"/>
    <w:rsid w:val="00C36EA2"/>
    <w:rsid w:val="00C37A0A"/>
    <w:rsid w:val="00C40AB2"/>
    <w:rsid w:val="00C4118E"/>
    <w:rsid w:val="00C41406"/>
    <w:rsid w:val="00C42318"/>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1FBE"/>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FC9F3C-0978-430E-8965-15692D55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453332263">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057238866">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mD82WgaYdXS4jnHbe3M7jDkiRt9PBd+swVVlMYy5O4o=</DigestValue>
    </Reference>
    <Reference Type="http://www.w3.org/2000/09/xmldsig#Object" URI="#idOfficeObject">
      <DigestMethod Algorithm="http://www.w3.org/2001/04/xmlenc#sha256"/>
      <DigestValue>srBQhEzKkHH8hWbdXhQ+gdaw4qZCKp1bYAah5emln2s=</DigestValue>
    </Reference>
    <Reference Type="http://uri.etsi.org/01903#SignedProperties" URI="#idSignedProperties">
      <Transforms>
        <Transform Algorithm="http://www.w3.org/TR/2001/REC-xml-c14n-20010315"/>
      </Transforms>
      <DigestMethod Algorithm="http://www.w3.org/2001/04/xmlenc#sha256"/>
      <DigestValue>TGpNpL77wX5uLIiD640AlKZRzr7lo+ZT/PDvkiWW8wo=</DigestValue>
    </Reference>
  </SignedInfo>
  <SignatureValue>dze0db1fPv7pxZ6jaOAEPHNiozUGnYWzrRRDxq0S65Jm1LhLhcT0+HbSAVAN37QZABkLCpTZMVUj
nauZmTDm63WYj2CR+nRSd+YTdsxnNbv+Zhz8UWPDlQ6Mmu/SG1wV92WZNK85W0WfLv+HPWs2hdvW
zzpEqUxWZWsbpD3e6uS/d6GIjlkvX/dYp2qP+zX2GcP38aGTjO7G9OaHt4lnWMxo22TDooxj/KJF
zeewdVzC8gOIwhW0O2hZXdKz/5ug+X7oKU5/eTyf2d+Q6I8ARzbS2siLGQl2mGbCu4c4BjJk4mYQ
3zcn60+Hq1AC5aruLi0QkvjoXFpWSXJeU1w7/Q==</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Dzup981ab8IEZX4FVTfsv6uUvC20oWmqH9OgXqhK5cA=</DigestValue>
      </Reference>
      <Reference URI="/word/endnotes.xml?ContentType=application/vnd.openxmlformats-officedocument.wordprocessingml.endnotes+xml">
        <DigestMethod Algorithm="http://www.w3.org/2001/04/xmlenc#sha256"/>
        <DigestValue>olqkL6+KBtGlqOBlnUDL+YzPYo4SPV2IagEQfr0By3Q=</DigestValue>
      </Reference>
      <Reference URI="/word/fontTable.xml?ContentType=application/vnd.openxmlformats-officedocument.wordprocessingml.fontTable+xml">
        <DigestMethod Algorithm="http://www.w3.org/2001/04/xmlenc#sha256"/>
        <DigestValue>mxVAWtL/FvVrEwYnnP3xLIRzytQ9xVCth5o6nJRi1gk=</DigestValue>
      </Reference>
      <Reference URI="/word/footer1.xml?ContentType=application/vnd.openxmlformats-officedocument.wordprocessingml.footer+xml">
        <DigestMethod Algorithm="http://www.w3.org/2001/04/xmlenc#sha256"/>
        <DigestValue>T0fyDvIQ64ikrj9XZ+spy2klrSokWRSOW8dwlLR1xpE=</DigestValue>
      </Reference>
      <Reference URI="/word/footnotes.xml?ContentType=application/vnd.openxmlformats-officedocument.wordprocessingml.footnotes+xml">
        <DigestMethod Algorithm="http://www.w3.org/2001/04/xmlenc#sha256"/>
        <DigestValue>oT7Mh12ckpNpUAqK1R00oe0xZc725uq8P3yW867bXYo=</DigestValue>
      </Reference>
      <Reference URI="/word/header1.xml?ContentType=application/vnd.openxmlformats-officedocument.wordprocessingml.header+xml">
        <DigestMethod Algorithm="http://www.w3.org/2001/04/xmlenc#sha256"/>
        <DigestValue>mL/K14RL4K3f00D9H/nApQaXpi3ybfCknUB+2fw0m64=</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GgwIHg4LsCwKQPpNCzCfm1vQPQwT6mowKI4t7+8Cw4E=</DigestValue>
      </Reference>
      <Reference URI="/word/settings.xml?ContentType=application/vnd.openxmlformats-officedocument.wordprocessingml.settings+xml">
        <DigestMethod Algorithm="http://www.w3.org/2001/04/xmlenc#sha256"/>
        <DigestValue>olQLITrKE0VtFJ0e8gbXqBGeVo8YhxnP5C5mNOERsXM=</DigestValue>
      </Reference>
      <Reference URI="/word/styles.xml?ContentType=application/vnd.openxmlformats-officedocument.wordprocessingml.styles+xml">
        <DigestMethod Algorithm="http://www.w3.org/2001/04/xmlenc#sha256"/>
        <DigestValue>kJsS872wQTB9WeIbtCJ9Ou6rdIRZCQZpevW1pf34R4s=</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sr2qaO90ai2NdoO7tga8zMS7Skaxqss/y4ZT8ZXMVYs=</DigestValue>
      </Reference>
    </Manifest>
    <SignatureProperties>
      <SignatureProperty Id="idSignatureTime" Target="#idPackageSignature">
        <mdssi:SignatureTime xmlns:mdssi="http://schemas.openxmlformats.org/package/2006/digital-signature">
          <mdssi:Format>YYYY-MM-DDThh:mm:ssTZD</mdssi:Format>
          <mdssi:Value>2019-04-25T06:21:00Z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16.0.11425/16</OfficeVersion>
          <ApplicationVersion>16.0.11425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2019-04-25T06:21:00Z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141C-BDBF-4E21-AFC1-FB577506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4592</Words>
  <Characters>27093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31622</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Ursíny</dc:creator>
  <cp:lastModifiedBy>Jan Růžička</cp:lastModifiedBy>
  <cp:revision>2</cp:revision>
  <cp:lastPrinted>2019-04-04T05:29:00Z</cp:lastPrinted>
  <dcterms:created xsi:type="dcterms:W3CDTF">2019-04-25T06:20:00Z</dcterms:created>
  <dcterms:modified xsi:type="dcterms:W3CDTF">2019-04-25T06:20:00Z</dcterms:modified>
</cp:coreProperties>
</file>