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BD0474" w:rsidRPr="00CA76D1" w:rsidRDefault="00AF6282" w:rsidP="00BD0474">
      <w:pPr>
        <w:jc w:val="both"/>
        <w:rPr>
          <w:rFonts w:ascii="Calibri" w:hAnsi="Calibri"/>
          <w:b/>
          <w:i/>
          <w:sz w:val="22"/>
          <w:szCs w:val="22"/>
        </w:rPr>
      </w:pPr>
      <w:r>
        <w:rPr>
          <w:rFonts w:ascii="Calibri" w:hAnsi="Calibri"/>
          <w:b/>
          <w:sz w:val="22"/>
          <w:szCs w:val="22"/>
        </w:rPr>
        <w:t>Mesto Svit</w:t>
      </w:r>
    </w:p>
    <w:p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AF6282" w:rsidRPr="00994B9E">
        <w:rPr>
          <w:rFonts w:ascii="Arial" w:eastAsia="Calibri" w:hAnsi="Arial" w:cs="Arial"/>
          <w:sz w:val="20"/>
          <w:szCs w:val="20"/>
          <w:lang w:eastAsia="en-US"/>
        </w:rPr>
        <w:t>Hviezdoslavova 268/32, 059 21 Svit</w:t>
      </w:r>
    </w:p>
    <w:p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AF6282" w:rsidRPr="001A00F8">
        <w:rPr>
          <w:rFonts w:ascii="Arial" w:eastAsia="Calibri" w:hAnsi="Arial" w:cs="Arial"/>
          <w:sz w:val="20"/>
          <w:szCs w:val="20"/>
          <w:lang w:eastAsia="en-US"/>
        </w:rPr>
        <w:t>00326607</w:t>
      </w:r>
    </w:p>
    <w:p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AF6282" w:rsidRPr="001A00F8">
        <w:rPr>
          <w:rFonts w:ascii="Arial" w:eastAsia="Calibri" w:hAnsi="Arial" w:cs="Arial"/>
          <w:sz w:val="20"/>
          <w:szCs w:val="20"/>
          <w:lang w:eastAsia="en-US"/>
        </w:rPr>
        <w:t>2021212754</w:t>
      </w:r>
    </w:p>
    <w:p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AF6282">
        <w:rPr>
          <w:rFonts w:ascii="Calibri" w:hAnsi="Calibri"/>
          <w:b/>
          <w:sz w:val="22"/>
          <w:szCs w:val="22"/>
        </w:rPr>
        <w:t>-</w:t>
      </w:r>
    </w:p>
    <w:p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AF6282">
        <w:rPr>
          <w:rFonts w:ascii="Arial" w:eastAsia="Calibri" w:hAnsi="Arial" w:cs="Arial"/>
          <w:sz w:val="20"/>
          <w:szCs w:val="20"/>
          <w:lang w:eastAsia="en-US"/>
        </w:rPr>
        <w:t xml:space="preserve">Ing. </w:t>
      </w:r>
      <w:r w:rsidR="009322D9">
        <w:rPr>
          <w:rFonts w:ascii="Arial" w:eastAsia="Calibri" w:hAnsi="Arial" w:cs="Arial"/>
          <w:sz w:val="20"/>
          <w:szCs w:val="20"/>
          <w:lang w:eastAsia="en-US"/>
        </w:rPr>
        <w:t>Dáša Vojsovičová</w:t>
      </w:r>
      <w:r w:rsidR="00AF6282">
        <w:rPr>
          <w:rFonts w:ascii="Arial" w:eastAsia="Calibri" w:hAnsi="Arial" w:cs="Arial"/>
          <w:sz w:val="20"/>
          <w:szCs w:val="20"/>
          <w:lang w:eastAsia="en-US"/>
        </w:rPr>
        <w:t>, primátor</w:t>
      </w:r>
      <w:r w:rsidR="009322D9">
        <w:rPr>
          <w:rFonts w:ascii="Arial" w:eastAsia="Calibri" w:hAnsi="Arial" w:cs="Arial"/>
          <w:sz w:val="20"/>
          <w:szCs w:val="20"/>
          <w:lang w:eastAsia="en-US"/>
        </w:rPr>
        <w:t>ka</w:t>
      </w:r>
      <w:r w:rsidR="00AF6282">
        <w:rPr>
          <w:rFonts w:ascii="Arial" w:eastAsia="Calibri" w:hAnsi="Arial" w:cs="Arial"/>
          <w:sz w:val="20"/>
          <w:szCs w:val="20"/>
          <w:lang w:eastAsia="en-US"/>
        </w:rPr>
        <w:t xml:space="preserve"> mesta Svi</w:t>
      </w:r>
      <w:r w:rsidR="009322D9">
        <w:rPr>
          <w:rFonts w:ascii="Arial" w:eastAsia="Calibri" w:hAnsi="Arial" w:cs="Arial"/>
          <w:sz w:val="20"/>
          <w:szCs w:val="20"/>
          <w:lang w:eastAsia="en-US"/>
        </w:rPr>
        <w:t>T</w:t>
      </w:r>
      <w:bookmarkStart w:id="0" w:name="_GoBack"/>
      <w:bookmarkEnd w:id="0"/>
    </w:p>
    <w:p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1"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E43E59" w:rsidRDefault="00AA2740" w:rsidP="00E43E59">
      <w:pPr>
        <w:pStyle w:val="Zarkazkladnhotextu21"/>
        <w:tabs>
          <w:tab w:val="left" w:pos="360"/>
          <w:tab w:val="left" w:pos="576"/>
        </w:tabs>
        <w:spacing w:after="240"/>
        <w:ind w:left="709"/>
        <w:rPr>
          <w:rFonts w:ascii="Calibri" w:hAnsi="Calibri" w:cs="Calibri"/>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E43E59" w:rsidRPr="00AF6282">
        <w:rPr>
          <w:rFonts w:ascii="Calibri" w:hAnsi="Calibri"/>
          <w:sz w:val="22"/>
          <w:szCs w:val="22"/>
        </w:rPr>
        <w:t>„</w:t>
      </w:r>
      <w:r w:rsidR="00AF6282" w:rsidRPr="00AF6282">
        <w:rPr>
          <w:rFonts w:ascii="Calibri" w:hAnsi="Calibri"/>
          <w:sz w:val="22"/>
          <w:szCs w:val="22"/>
        </w:rPr>
        <w:t>Zlepšenie kľúčových kompetencií žiakov – Základná škola Mierová 134 a Základná škola Komenského vo Svite</w:t>
      </w:r>
      <w:r w:rsidR="00E43E59" w:rsidRPr="00AF6282">
        <w:rPr>
          <w:rFonts w:ascii="Calibri" w:hAnsi="Calibri"/>
          <w:sz w:val="22"/>
          <w:szCs w:val="22"/>
        </w:rPr>
        <w:t xml:space="preserve">“, Časť </w:t>
      </w:r>
      <w:r w:rsidR="00AF6282" w:rsidRPr="00AF6282">
        <w:rPr>
          <w:rFonts w:ascii="Calibri" w:hAnsi="Calibri"/>
          <w:sz w:val="22"/>
          <w:szCs w:val="22"/>
        </w:rPr>
        <w:t>A.</w:t>
      </w:r>
      <w:r w:rsidR="00E43E59" w:rsidRPr="00AF6282">
        <w:rPr>
          <w:rFonts w:ascii="Calibri" w:hAnsi="Calibri"/>
          <w:sz w:val="22"/>
          <w:szCs w:val="22"/>
        </w:rPr>
        <w:t>1: Didaktické pomôcky</w:t>
      </w:r>
      <w:r w:rsidR="00AF6282" w:rsidRPr="00AF6282">
        <w:rPr>
          <w:rFonts w:ascii="Calibri" w:hAnsi="Calibri"/>
          <w:sz w:val="22"/>
          <w:szCs w:val="22"/>
        </w:rPr>
        <w:t xml:space="preserve"> ZŠ Mierová</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1"/>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6645"/>
        <w:gridCol w:w="697"/>
        <w:gridCol w:w="1043"/>
      </w:tblGrid>
      <w:tr w:rsidR="00407046" w:rsidRPr="00CA76D1" w:rsidTr="009322D9">
        <w:trPr>
          <w:trHeight w:val="308"/>
        </w:trPr>
        <w:tc>
          <w:tcPr>
            <w:tcW w:w="304"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22"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390"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584"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9322D9" w:rsidRPr="00CA76D1" w:rsidTr="009322D9">
        <w:trPr>
          <w:trHeight w:val="666"/>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Súbor na robotické programovanie</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súbor</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0"/>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Dielenské meradlá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571"/>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1-3</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Ručné náradie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12,00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1-4</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Akumulátorové náradie</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1-5</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Náradia pre elektroniku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1-6</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Montážne náradie pre vodoinštaláciu</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1-7</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Súprava základného murárskeho, stavebného a maliarskeho náradia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ks</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1-8</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 xml:space="preserve">Mikrospájkovačka s príslušenstvom </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ks</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1-9</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Nožnice na strihanie plechu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1-10</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Teplovzdušná pištoľ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1-11</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Vypalovačka do dreva</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ks</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1-12</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Zverák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1-13</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Nákova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ks</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1-14</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 xml:space="preserve">Sada univerzálnych meracích prístrojov </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8,00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1-15</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meranie spotreby el. energie</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4,00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1-16</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znázornenie bezpečného využitia elektrickej energie v domácnosti</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1-17</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znázornenie pravouhlého premietania</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4,00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1-18</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znázornenie skleníkového efektu</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1-19</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znázornenie zdrojov obnoviteľnej energie</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1-20</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 xml:space="preserve">Sada na využitie obnoviteľnej enegie </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5,00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1-21</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znázornenie vodovodného systému</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2,00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1-22</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základných druhov mechanizmov, pohonov a prevodov</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1,00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1-23</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Prístroj detekujúci hladinu hluku</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ks</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2,00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1-24</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Triedna sada nástenných tabúľ pre polytechniku</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súbor</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2,00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1-25</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obrábanie dreva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1-26</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Sada na obrábanie kovu a plastov s príslušenstvom</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sada</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6,00</w:t>
            </w:r>
          </w:p>
        </w:tc>
      </w:tr>
      <w:tr w:rsidR="009322D9" w:rsidRPr="00CA76D1" w:rsidTr="009322D9">
        <w:trPr>
          <w:trHeight w:val="693"/>
        </w:trPr>
        <w:tc>
          <w:tcPr>
            <w:tcW w:w="304" w:type="pct"/>
            <w:shd w:val="clear" w:color="auto" w:fill="auto"/>
            <w:noWrap/>
          </w:tcPr>
          <w:p w:rsidR="009322D9" w:rsidRDefault="009322D9">
            <w:pPr>
              <w:rPr>
                <w:rFonts w:ascii="Calibri" w:hAnsi="Calibri"/>
                <w:color w:val="000000"/>
                <w:sz w:val="22"/>
                <w:szCs w:val="22"/>
              </w:rPr>
            </w:pPr>
            <w:r>
              <w:rPr>
                <w:rFonts w:ascii="Calibri" w:hAnsi="Calibri"/>
                <w:color w:val="000000"/>
                <w:sz w:val="22"/>
                <w:szCs w:val="22"/>
              </w:rPr>
              <w:t>1-27</w:t>
            </w:r>
          </w:p>
        </w:tc>
        <w:tc>
          <w:tcPr>
            <w:tcW w:w="3722" w:type="pct"/>
            <w:shd w:val="clear" w:color="auto" w:fill="auto"/>
            <w:vAlign w:val="center"/>
          </w:tcPr>
          <w:p w:rsidR="009322D9" w:rsidRDefault="009322D9">
            <w:pPr>
              <w:rPr>
                <w:rFonts w:ascii="Calibri" w:hAnsi="Calibri"/>
                <w:color w:val="000000"/>
              </w:rPr>
            </w:pPr>
            <w:r>
              <w:rPr>
                <w:rFonts w:ascii="Calibri" w:hAnsi="Calibri"/>
                <w:color w:val="000000"/>
              </w:rPr>
              <w:t>Stolárska hoblica - odborná učebňa techniky</w:t>
            </w:r>
          </w:p>
        </w:tc>
        <w:tc>
          <w:tcPr>
            <w:tcW w:w="390" w:type="pct"/>
            <w:shd w:val="clear" w:color="auto" w:fill="auto"/>
            <w:vAlign w:val="center"/>
          </w:tcPr>
          <w:p w:rsidR="009322D9" w:rsidRDefault="009322D9">
            <w:pPr>
              <w:jc w:val="center"/>
              <w:rPr>
                <w:rFonts w:ascii="Calibri" w:hAnsi="Calibri"/>
                <w:color w:val="000000"/>
              </w:rPr>
            </w:pPr>
            <w:r>
              <w:rPr>
                <w:rFonts w:ascii="Calibri" w:hAnsi="Calibri"/>
                <w:color w:val="000000"/>
              </w:rPr>
              <w:t>ks</w:t>
            </w:r>
          </w:p>
        </w:tc>
        <w:tc>
          <w:tcPr>
            <w:tcW w:w="584" w:type="pct"/>
            <w:shd w:val="clear" w:color="auto" w:fill="auto"/>
            <w:noWrap/>
            <w:vAlign w:val="center"/>
          </w:tcPr>
          <w:p w:rsidR="009322D9" w:rsidRDefault="009322D9">
            <w:pPr>
              <w:jc w:val="right"/>
              <w:rPr>
                <w:rFonts w:ascii="Calibri" w:hAnsi="Calibri"/>
                <w:color w:val="000000"/>
              </w:rPr>
            </w:pPr>
            <w:r>
              <w:rPr>
                <w:rFonts w:ascii="Calibri" w:hAnsi="Calibri"/>
                <w:color w:val="000000"/>
              </w:rPr>
              <w:t>4,00</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52C30">
        <w:rPr>
          <w:rFonts w:ascii="Calibri" w:hAnsi="Calibri"/>
          <w:sz w:val="22"/>
          <w:szCs w:val="22"/>
        </w:rPr>
        <w:t>2.2</w:t>
      </w:r>
      <w:r w:rsidR="001F1467" w:rsidRPr="00C52C30">
        <w:rPr>
          <w:rFonts w:ascii="Calibri" w:hAnsi="Calibri"/>
          <w:sz w:val="22"/>
          <w:szCs w:val="22"/>
        </w:rPr>
        <w:tab/>
      </w:r>
      <w:r w:rsidR="00C72B61" w:rsidRPr="00C52C30">
        <w:rPr>
          <w:rFonts w:ascii="Calibri" w:hAnsi="Calibri"/>
          <w:sz w:val="22"/>
          <w:szCs w:val="22"/>
        </w:rPr>
        <w:t xml:space="preserve">Predávajúci sa zároveň zaväzuje uskutočniť </w:t>
      </w:r>
      <w:r w:rsidR="004B50BC" w:rsidRPr="00C52C30">
        <w:rPr>
          <w:rFonts w:ascii="Calibri" w:hAnsi="Calibri"/>
          <w:sz w:val="22"/>
          <w:szCs w:val="22"/>
        </w:rPr>
        <w:t xml:space="preserve">všetku potrebnú </w:t>
      </w:r>
      <w:r w:rsidR="006F1C1F" w:rsidRPr="00C52C30">
        <w:rPr>
          <w:rFonts w:ascii="Calibri" w:hAnsi="Calibri"/>
          <w:sz w:val="22"/>
          <w:szCs w:val="22"/>
        </w:rPr>
        <w:t>inštaláciu</w:t>
      </w:r>
      <w:r w:rsidR="00C72B61" w:rsidRPr="00C52C30">
        <w:rPr>
          <w:rFonts w:ascii="Calibri" w:hAnsi="Calibri"/>
          <w:sz w:val="22"/>
          <w:szCs w:val="22"/>
        </w:rPr>
        <w:t xml:space="preserve"> tovaru </w:t>
      </w:r>
      <w:r w:rsidR="00794D43" w:rsidRPr="00C52C30">
        <w:rPr>
          <w:rFonts w:ascii="Calibri" w:hAnsi="Calibri"/>
          <w:sz w:val="22"/>
          <w:szCs w:val="22"/>
        </w:rPr>
        <w:t xml:space="preserve">a </w:t>
      </w:r>
      <w:r w:rsidR="00C72B61" w:rsidRPr="00C52C30">
        <w:rPr>
          <w:rFonts w:ascii="Calibri" w:hAnsi="Calibri"/>
          <w:sz w:val="22"/>
          <w:szCs w:val="22"/>
        </w:rPr>
        <w:t xml:space="preserve">zaškolenie </w:t>
      </w:r>
      <w:r w:rsidR="008C0D92" w:rsidRPr="00C52C30">
        <w:rPr>
          <w:rFonts w:ascii="Calibri" w:hAnsi="Calibri"/>
          <w:sz w:val="22"/>
          <w:szCs w:val="22"/>
        </w:rPr>
        <w:t xml:space="preserve">osôb </w:t>
      </w:r>
      <w:r w:rsidR="00C72B61" w:rsidRPr="00C52C3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w:t>
      </w:r>
      <w:r w:rsidRPr="00CA76D1">
        <w:rPr>
          <w:rFonts w:ascii="Calibri" w:hAnsi="Calibri" w:cs="Times New Roman"/>
          <w:sz w:val="22"/>
          <w:szCs w:val="22"/>
        </w:rPr>
        <w:lastRenderedPageBreak/>
        <w:t>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sidR="00306564">
        <w:rPr>
          <w:rFonts w:ascii="Calibri" w:hAnsi="Calibri" w:cs="Times New Roman"/>
          <w:sz w:val="22"/>
          <w:szCs w:val="22"/>
        </w:rPr>
        <w:t>u</w:t>
      </w:r>
      <w:r w:rsidRPr="00CA76D1">
        <w:rPr>
          <w:rFonts w:ascii="Calibri" w:hAnsi="Calibri" w:cs="Times New Roman"/>
          <w:sz w:val="22"/>
          <w:szCs w:val="22"/>
        </w:rPr>
        <w:t>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CA76D1" w:rsidRDefault="001F1467" w:rsidP="000036BB">
      <w:pPr>
        <w:numPr>
          <w:ilvl w:val="1"/>
          <w:numId w:val="16"/>
        </w:numPr>
        <w:ind w:left="709" w:hanging="709"/>
        <w:jc w:val="both"/>
        <w:rPr>
          <w:rFonts w:ascii="Calibri" w:hAnsi="Calibri"/>
          <w:b/>
          <w:bCs/>
          <w:sz w:val="22"/>
          <w:szCs w:val="22"/>
        </w:rPr>
      </w:pPr>
      <w:bookmarkStart w:id="3"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3"/>
      <w:r w:rsidR="00AF6282">
        <w:rPr>
          <w:rFonts w:ascii="Calibri" w:hAnsi="Calibri" w:cs="Calibri"/>
          <w:bCs/>
          <w:sz w:val="22"/>
          <w:szCs w:val="22"/>
        </w:rPr>
        <w:t xml:space="preserve">ZŠ, </w:t>
      </w:r>
      <w:r w:rsidR="00AF6282" w:rsidRPr="0039410C">
        <w:rPr>
          <w:rFonts w:ascii="Calibri" w:hAnsi="Calibri" w:cs="Calibri"/>
          <w:bCs/>
          <w:sz w:val="22"/>
          <w:szCs w:val="22"/>
        </w:rPr>
        <w:t>Mierová 134, Svit 059 21</w:t>
      </w:r>
      <w:r w:rsidR="001E33F8" w:rsidRPr="00E43E59">
        <w:rPr>
          <w:rFonts w:ascii="Calibri" w:hAnsi="Calibri"/>
          <w:color w:val="FF0000"/>
          <w:sz w:val="22"/>
          <w:szCs w:val="22"/>
        </w:rPr>
        <w:t>.</w:t>
      </w:r>
    </w:p>
    <w:p w:rsidR="000036BB" w:rsidRPr="00CA76D1" w:rsidRDefault="000036BB" w:rsidP="000036BB">
      <w:pPr>
        <w:ind w:left="709"/>
        <w:jc w:val="both"/>
        <w:rPr>
          <w:rFonts w:ascii="Calibri" w:hAnsi="Calibri"/>
          <w:b/>
          <w:bCs/>
          <w:sz w:val="22"/>
          <w:szCs w:val="22"/>
        </w:rPr>
      </w:pPr>
    </w:p>
    <w:p w:rsidR="000036BB" w:rsidRPr="00E43E59" w:rsidRDefault="001F1467" w:rsidP="000036BB">
      <w:pPr>
        <w:numPr>
          <w:ilvl w:val="1"/>
          <w:numId w:val="16"/>
        </w:numPr>
        <w:ind w:left="709" w:hanging="709"/>
        <w:jc w:val="both"/>
        <w:rPr>
          <w:rFonts w:ascii="Calibri" w:hAnsi="Calibri"/>
          <w:b/>
          <w:bCs/>
          <w:i/>
          <w:color w:val="FF0000"/>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Pr="00AF6282">
        <w:rPr>
          <w:rFonts w:ascii="Calibri" w:hAnsi="Calibri"/>
          <w:bCs/>
          <w:sz w:val="22"/>
          <w:szCs w:val="22"/>
        </w:rPr>
        <w:t xml:space="preserve"> </w:t>
      </w:r>
      <w:r w:rsidR="00AF6282" w:rsidRPr="00AF6282">
        <w:rPr>
          <w:rFonts w:ascii="Calibri" w:hAnsi="Calibri"/>
          <w:bCs/>
          <w:sz w:val="22"/>
          <w:szCs w:val="22"/>
        </w:rPr>
        <w:t>6 mesiacov odo dňa nadobudnutia účinnosti Kúpnej zmluvy.</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D204CB" w:rsidRDefault="008C3ADA" w:rsidP="000036BB">
      <w:pPr>
        <w:numPr>
          <w:ilvl w:val="1"/>
          <w:numId w:val="16"/>
        </w:numPr>
        <w:ind w:left="709" w:hanging="709"/>
        <w:jc w:val="both"/>
        <w:rPr>
          <w:rFonts w:ascii="Calibri" w:hAnsi="Calibri"/>
          <w:sz w:val="22"/>
          <w:szCs w:val="22"/>
        </w:rPr>
      </w:pPr>
      <w:r w:rsidRPr="00D204CB">
        <w:rPr>
          <w:rFonts w:ascii="Calibri" w:hAnsi="Calibri"/>
          <w:sz w:val="22"/>
          <w:szCs w:val="22"/>
        </w:rPr>
        <w:t xml:space="preserve">Predávajúci je povinný uskutočniť </w:t>
      </w:r>
      <w:r w:rsidR="006F1C1F" w:rsidRPr="00D204CB">
        <w:rPr>
          <w:rFonts w:ascii="Calibri" w:hAnsi="Calibri"/>
          <w:sz w:val="22"/>
          <w:szCs w:val="22"/>
        </w:rPr>
        <w:t>inštaláciu</w:t>
      </w:r>
      <w:r w:rsidRPr="00D204CB">
        <w:rPr>
          <w:rFonts w:ascii="Calibri" w:hAnsi="Calibri"/>
          <w:sz w:val="22"/>
          <w:szCs w:val="22"/>
        </w:rPr>
        <w:t xml:space="preserve"> tovaru v mieste dodania za účelom jeho sfunkčnenia a zaškoliť </w:t>
      </w:r>
      <w:r w:rsidR="005E642C">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8C3ADA" w:rsidRPr="00D204CB" w:rsidRDefault="008C3ADA" w:rsidP="008C3ADA">
      <w:pPr>
        <w:ind w:left="709"/>
        <w:jc w:val="both"/>
        <w:rPr>
          <w:rFonts w:ascii="Calibri" w:hAnsi="Calibri"/>
          <w:sz w:val="22"/>
          <w:szCs w:val="22"/>
        </w:rPr>
      </w:pPr>
    </w:p>
    <w:p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4" w:name="_Ref165076727"/>
      <w:bookmarkStart w:id="5" w:name="_Ref160512027"/>
      <w:bookmarkStart w:id="6"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7" w:name="_Ref158396556"/>
      <w:bookmarkEnd w:id="6"/>
    </w:p>
    <w:bookmarkEnd w:id="7"/>
    <w:p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rsidR="003A2ECF" w:rsidRDefault="003A2ECF" w:rsidP="003A2ECF">
      <w:pPr>
        <w:ind w:left="709"/>
        <w:jc w:val="both"/>
        <w:rPr>
          <w:rFonts w:ascii="Calibri" w:hAnsi="Calibri"/>
          <w:sz w:val="22"/>
          <w:szCs w:val="22"/>
        </w:rPr>
      </w:pPr>
    </w:p>
    <w:p w:rsidR="003A2ECF" w:rsidRDefault="003A2ECF" w:rsidP="003A2ECF">
      <w:pPr>
        <w:ind w:left="709"/>
        <w:jc w:val="both"/>
        <w:rPr>
          <w:rFonts w:ascii="Calibri" w:hAnsi="Calibri"/>
          <w:sz w:val="22"/>
          <w:szCs w:val="22"/>
        </w:rPr>
      </w:pPr>
      <w:r>
        <w:rPr>
          <w:rFonts w:ascii="Calibri" w:hAnsi="Calibri"/>
          <w:sz w:val="22"/>
          <w:szCs w:val="22"/>
        </w:rPr>
        <w:t>Cena bez DPH v EUR: ..................,- slovom: .................................................................... EUR</w:t>
      </w:r>
    </w:p>
    <w:p w:rsidR="003A2ECF" w:rsidRDefault="003A2ECF" w:rsidP="003A2ECF">
      <w:pPr>
        <w:ind w:left="709"/>
        <w:jc w:val="both"/>
        <w:rPr>
          <w:rFonts w:ascii="Calibri" w:hAnsi="Calibri"/>
          <w:sz w:val="22"/>
          <w:szCs w:val="22"/>
        </w:rPr>
      </w:pPr>
      <w:r>
        <w:rPr>
          <w:rFonts w:ascii="Calibri" w:hAnsi="Calibri"/>
          <w:sz w:val="22"/>
          <w:szCs w:val="22"/>
        </w:rPr>
        <w:t>DPH......% v EUR:        ..................,- slovom:  ....................................................................EUR</w:t>
      </w:r>
    </w:p>
    <w:p w:rsidR="006470C4" w:rsidRDefault="003A2ECF" w:rsidP="003A2ECF">
      <w:pPr>
        <w:ind w:left="709"/>
        <w:jc w:val="both"/>
        <w:rPr>
          <w:rFonts w:ascii="Calibri" w:hAnsi="Calibri"/>
          <w:sz w:val="22"/>
          <w:szCs w:val="22"/>
        </w:rPr>
      </w:pPr>
      <w:r>
        <w:rPr>
          <w:rFonts w:ascii="Calibri" w:hAnsi="Calibri"/>
          <w:sz w:val="22"/>
          <w:szCs w:val="22"/>
        </w:rPr>
        <w:t>Cena s DPH v EUR:     ..................,- slovom:  ....................................................................EUR</w:t>
      </w:r>
    </w:p>
    <w:p w:rsidR="003A2ECF" w:rsidRPr="00CA76D1" w:rsidRDefault="003A2ECF" w:rsidP="003A2ECF">
      <w:pPr>
        <w:ind w:left="709"/>
        <w:jc w:val="both"/>
        <w:rPr>
          <w:rFonts w:ascii="Calibri" w:hAnsi="Calibri"/>
          <w:sz w:val="22"/>
          <w:szCs w:val="22"/>
        </w:rPr>
      </w:pPr>
    </w:p>
    <w:p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16BDB" w:rsidRPr="00CA76D1" w:rsidRDefault="00516BDB" w:rsidP="00516BDB">
      <w:pPr>
        <w:ind w:left="709"/>
        <w:jc w:val="both"/>
        <w:rPr>
          <w:rFonts w:ascii="Calibri" w:hAnsi="Calibri"/>
          <w:sz w:val="22"/>
          <w:szCs w:val="22"/>
        </w:rPr>
      </w:pP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306564" w:rsidRDefault="00306564" w:rsidP="00306564">
      <w:pPr>
        <w:ind w:left="709"/>
        <w:jc w:val="both"/>
        <w:rPr>
          <w:rFonts w:ascii="Calibri" w:hAnsi="Calibri"/>
          <w:sz w:val="22"/>
          <w:szCs w:val="22"/>
        </w:rPr>
      </w:pPr>
    </w:p>
    <w:p w:rsidR="00306564" w:rsidRDefault="00306564" w:rsidP="00306564">
      <w:pPr>
        <w:jc w:val="both"/>
        <w:rPr>
          <w:rFonts w:ascii="Calibri" w:hAnsi="Calibri"/>
          <w:bCs/>
          <w:sz w:val="22"/>
          <w:szCs w:val="22"/>
        </w:rPr>
      </w:pPr>
    </w:p>
    <w:p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306564" w:rsidRPr="002D6AC9" w:rsidRDefault="00306564" w:rsidP="00306564">
      <w:pPr>
        <w:pStyle w:val="Default"/>
        <w:jc w:val="both"/>
        <w:rPr>
          <w:b/>
          <w:sz w:val="22"/>
          <w:szCs w:val="22"/>
        </w:rPr>
      </w:pPr>
    </w:p>
    <w:p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AF6282">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AF6282">
        <w:rPr>
          <w:sz w:val="22"/>
          <w:szCs w:val="22"/>
        </w:rPr>
        <w:t xml:space="preserve">2 </w:t>
      </w:r>
      <w:r>
        <w:rPr>
          <w:sz w:val="22"/>
          <w:szCs w:val="22"/>
        </w:rPr>
        <w:t>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306564" w:rsidRDefault="00306564" w:rsidP="00306564">
      <w:pPr>
        <w:pStyle w:val="Default"/>
        <w:ind w:left="360"/>
        <w:jc w:val="both"/>
        <w:rPr>
          <w:sz w:val="22"/>
          <w:szCs w:val="22"/>
        </w:rPr>
      </w:pPr>
    </w:p>
    <w:p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306564" w:rsidRDefault="00306564" w:rsidP="00306564">
      <w:pPr>
        <w:pStyle w:val="Default"/>
        <w:ind w:left="360"/>
        <w:jc w:val="both"/>
        <w:rPr>
          <w:sz w:val="22"/>
          <w:szCs w:val="22"/>
        </w:rPr>
      </w:pPr>
    </w:p>
    <w:p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306564" w:rsidRPr="009F0D76" w:rsidRDefault="00306564" w:rsidP="00306564">
      <w:pPr>
        <w:ind w:left="720"/>
        <w:jc w:val="both"/>
        <w:rPr>
          <w:rFonts w:ascii="Calibri" w:hAnsi="Calibri"/>
          <w:b/>
          <w:bCs/>
          <w:sz w:val="22"/>
          <w:szCs w:val="22"/>
        </w:rPr>
      </w:pPr>
    </w:p>
    <w:p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rsidR="001F1467" w:rsidRPr="00CA76D1" w:rsidRDefault="001F1467" w:rsidP="001F1467">
      <w:pPr>
        <w:jc w:val="both"/>
        <w:rPr>
          <w:rFonts w:ascii="Calibri" w:hAnsi="Calibri"/>
          <w:bCs/>
          <w:sz w:val="22"/>
          <w:szCs w:val="22"/>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993F09" w:rsidRDefault="00993F09" w:rsidP="001F1467">
      <w:pPr>
        <w:autoSpaceDE w:val="0"/>
        <w:autoSpaceDN w:val="0"/>
        <w:adjustRightInd w:val="0"/>
        <w:rPr>
          <w:rFonts w:ascii="Calibri" w:hAnsi="Calibri"/>
          <w:sz w:val="22"/>
          <w:szCs w:val="22"/>
        </w:rPr>
      </w:pPr>
    </w:p>
    <w:p w:rsidR="00993F09" w:rsidRDefault="00993F09" w:rsidP="00993F09">
      <w:pPr>
        <w:spacing w:beforeLines="60" w:before="144"/>
      </w:pPr>
      <w:r>
        <w:rPr>
          <w:rFonts w:ascii="Calibri" w:hAnsi="Calibri"/>
          <w:sz w:val="22"/>
          <w:szCs w:val="22"/>
        </w:rPr>
        <w:t>Príloha č. 1 špecifikácia predmetu zákazky, Cenový formulár</w:t>
      </w:r>
    </w:p>
    <w:p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Pr="00861C12" w:rsidRDefault="00AF6282" w:rsidP="00AF6282">
      <w:pPr>
        <w:shd w:val="clear" w:color="auto" w:fill="FFFFFF"/>
        <w:spacing w:line="280" w:lineRule="atLeast"/>
        <w:ind w:left="720" w:right="66"/>
        <w:jc w:val="right"/>
      </w:pPr>
      <w:r w:rsidRPr="00861C12">
        <w:t>Príloha č.2</w:t>
      </w:r>
    </w:p>
    <w:p w:rsidR="00AF6282" w:rsidRPr="00861C12" w:rsidRDefault="00AF6282" w:rsidP="00AF6282">
      <w:pPr>
        <w:shd w:val="clear" w:color="auto" w:fill="FFFFFF"/>
        <w:spacing w:line="280" w:lineRule="atLeast"/>
        <w:ind w:left="720" w:right="66"/>
        <w:jc w:val="both"/>
      </w:pPr>
    </w:p>
    <w:p w:rsidR="00AF6282" w:rsidRDefault="00AF6282" w:rsidP="00AF6282">
      <w:pPr>
        <w:shd w:val="clear" w:color="auto" w:fill="FFFFFF"/>
        <w:spacing w:line="280" w:lineRule="atLeast"/>
        <w:ind w:right="66"/>
        <w:jc w:val="both"/>
        <w:rPr>
          <w:b/>
          <w:sz w:val="28"/>
          <w:szCs w:val="28"/>
        </w:rPr>
      </w:pPr>
    </w:p>
    <w:p w:rsidR="00AF6282" w:rsidRDefault="00AF6282" w:rsidP="00AF6282">
      <w:pPr>
        <w:shd w:val="clear" w:color="auto" w:fill="FFFFFF"/>
        <w:spacing w:line="280" w:lineRule="atLeast"/>
        <w:ind w:right="66"/>
        <w:jc w:val="both"/>
        <w:rPr>
          <w:b/>
          <w:sz w:val="28"/>
          <w:szCs w:val="28"/>
        </w:rPr>
      </w:pPr>
    </w:p>
    <w:p w:rsidR="00AF6282" w:rsidRPr="000E6251" w:rsidRDefault="00AF6282" w:rsidP="00AF6282">
      <w:pPr>
        <w:shd w:val="clear" w:color="auto" w:fill="FFFFFF"/>
        <w:spacing w:line="280" w:lineRule="atLeast"/>
        <w:ind w:right="66"/>
        <w:jc w:val="center"/>
        <w:rPr>
          <w:b/>
          <w:sz w:val="28"/>
          <w:szCs w:val="28"/>
        </w:rPr>
      </w:pPr>
      <w:r w:rsidRPr="000E6251">
        <w:rPr>
          <w:b/>
          <w:sz w:val="28"/>
          <w:szCs w:val="28"/>
        </w:rPr>
        <w:t>Zoznam známych subdodávateľov</w:t>
      </w:r>
    </w:p>
    <w:p w:rsidR="00AF6282" w:rsidRPr="00861C12" w:rsidRDefault="00AF6282" w:rsidP="00AF6282">
      <w:pPr>
        <w:shd w:val="clear" w:color="auto" w:fill="FFFFFF"/>
        <w:spacing w:line="280" w:lineRule="atLeast"/>
        <w:ind w:right="66"/>
        <w:jc w:val="both"/>
        <w:rPr>
          <w:b/>
          <w:sz w:val="28"/>
          <w:szCs w:val="28"/>
        </w:rPr>
      </w:pPr>
    </w:p>
    <w:p w:rsidR="00AF6282" w:rsidRPr="00861C12" w:rsidRDefault="00AF6282" w:rsidP="00AF6282">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Subdodávateľ</w:t>
            </w:r>
          </w:p>
          <w:p w:rsidR="00AF6282" w:rsidRPr="002D66BA" w:rsidRDefault="00AF6282" w:rsidP="00BE645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Kontaktná osoba</w:t>
            </w:r>
          </w:p>
          <w:p w:rsidR="00AF6282" w:rsidRPr="002D66BA" w:rsidRDefault="00AF6282" w:rsidP="00BE645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rPr>
                <w:b/>
                <w:lang w:eastAsia="en-US"/>
              </w:rPr>
            </w:pPr>
            <w:r w:rsidRPr="002D66BA">
              <w:rPr>
                <w:b/>
                <w:lang w:eastAsia="en-US"/>
              </w:rPr>
              <w:t>Popis prác vykonávaných</w:t>
            </w:r>
          </w:p>
          <w:p w:rsidR="00AF6282" w:rsidRPr="002D66BA" w:rsidRDefault="00AF6282" w:rsidP="00BE6457">
            <w:pPr>
              <w:spacing w:line="280" w:lineRule="atLeast"/>
              <w:ind w:right="66"/>
              <w:rPr>
                <w:b/>
                <w:lang w:eastAsia="en-US"/>
              </w:rPr>
            </w:pPr>
            <w:r w:rsidRPr="002D66BA">
              <w:rPr>
                <w:b/>
                <w:lang w:eastAsia="en-US"/>
              </w:rPr>
              <w:t>subdodávateľom</w:t>
            </w:r>
          </w:p>
          <w:p w:rsidR="00AF6282" w:rsidRPr="002D66BA" w:rsidRDefault="00AF6282" w:rsidP="00BE645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rPr>
                <w:lang w:eastAsia="en-US"/>
              </w:rPr>
            </w:pPr>
            <w:r w:rsidRPr="002D66BA">
              <w:rPr>
                <w:b/>
                <w:lang w:eastAsia="en-US"/>
              </w:rPr>
              <w:t>Podiel plnenia zmluvy</w:t>
            </w:r>
            <w:r w:rsidRPr="002D66BA">
              <w:rPr>
                <w:lang w:eastAsia="en-US"/>
              </w:rPr>
              <w:t xml:space="preserve"> vo finan.</w:t>
            </w:r>
          </w:p>
          <w:p w:rsidR="00AF6282" w:rsidRPr="002D66BA" w:rsidRDefault="00AF6282" w:rsidP="00BE6457">
            <w:pPr>
              <w:spacing w:line="280" w:lineRule="atLeast"/>
              <w:ind w:right="66"/>
              <w:rPr>
                <w:lang w:eastAsia="en-US"/>
              </w:rPr>
            </w:pPr>
            <w:r w:rsidRPr="002D66BA">
              <w:rPr>
                <w:lang w:eastAsia="en-US"/>
              </w:rPr>
              <w:t>vyjadrení v EUR bez DPH</w:t>
            </w: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bl>
    <w:p w:rsidR="00AF6282" w:rsidRPr="00861C12" w:rsidRDefault="00AF6282" w:rsidP="00AF6282">
      <w:pPr>
        <w:shd w:val="clear" w:color="auto" w:fill="FFFFFF"/>
        <w:spacing w:line="280" w:lineRule="atLeast"/>
        <w:ind w:left="720" w:right="66"/>
        <w:jc w:val="both"/>
      </w:pPr>
    </w:p>
    <w:p w:rsidR="00AF6282" w:rsidRPr="00861C12" w:rsidRDefault="00AF6282" w:rsidP="00AF6282"/>
    <w:p w:rsidR="00AF6282" w:rsidRPr="00905F1D" w:rsidRDefault="00AF6282" w:rsidP="00AF6282"/>
    <w:p w:rsidR="00AF6282" w:rsidRPr="00861C12" w:rsidRDefault="00AF6282" w:rsidP="00AF6282">
      <w:pPr>
        <w:shd w:val="clear" w:color="auto" w:fill="FFFFFF"/>
        <w:spacing w:line="280" w:lineRule="atLeast"/>
        <w:ind w:right="66"/>
        <w:jc w:val="both"/>
        <w:rPr>
          <w:highlight w:val="yellow"/>
        </w:rPr>
      </w:pPr>
    </w:p>
    <w:p w:rsidR="00AF6282" w:rsidRDefault="00AF6282" w:rsidP="00AF6282">
      <w:pPr>
        <w:autoSpaceDE w:val="0"/>
        <w:autoSpaceDN w:val="0"/>
        <w:adjustRightInd w:val="0"/>
        <w:rPr>
          <w:rFonts w:ascii="Calibri" w:hAnsi="Calibri"/>
          <w:sz w:val="22"/>
          <w:szCs w:val="22"/>
        </w:rPr>
      </w:pPr>
    </w:p>
    <w:p w:rsidR="00AF6282" w:rsidRDefault="00AF6282" w:rsidP="00AF6282">
      <w:pPr>
        <w:autoSpaceDE w:val="0"/>
        <w:autoSpaceDN w:val="0"/>
        <w:adjustRightInd w:val="0"/>
        <w:rPr>
          <w:rFonts w:ascii="Calibri" w:hAnsi="Calibri"/>
          <w:sz w:val="22"/>
          <w:szCs w:val="22"/>
        </w:rPr>
      </w:pPr>
    </w:p>
    <w:p w:rsidR="00AF6282" w:rsidRDefault="00AF6282" w:rsidP="00AF6282">
      <w:pPr>
        <w:autoSpaceDE w:val="0"/>
        <w:autoSpaceDN w:val="0"/>
        <w:adjustRightInd w:val="0"/>
        <w:rPr>
          <w:rFonts w:ascii="Calibri" w:hAnsi="Calibri"/>
          <w:sz w:val="22"/>
          <w:szCs w:val="22"/>
        </w:rPr>
      </w:pPr>
    </w:p>
    <w:p w:rsidR="00AF6282" w:rsidRPr="00CA76D1" w:rsidRDefault="00AF6282" w:rsidP="00AF6282">
      <w:pPr>
        <w:spacing w:beforeLines="60" w:before="144"/>
        <w:rPr>
          <w:rFonts w:ascii="Calibri" w:hAnsi="Calibri"/>
          <w:sz w:val="22"/>
          <w:szCs w:val="22"/>
        </w:rPr>
      </w:pPr>
    </w:p>
    <w:p w:rsidR="00AF6282" w:rsidRPr="00CA76D1" w:rsidRDefault="00AF6282" w:rsidP="001F1467">
      <w:pPr>
        <w:autoSpaceDE w:val="0"/>
        <w:autoSpaceDN w:val="0"/>
        <w:adjustRightInd w:val="0"/>
        <w:rPr>
          <w:rFonts w:ascii="Calibri" w:hAnsi="Calibri"/>
          <w:sz w:val="22"/>
          <w:szCs w:val="22"/>
        </w:rPr>
      </w:pPr>
    </w:p>
    <w:sectPr w:rsidR="00AF6282"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C6" w:rsidRDefault="004723C6" w:rsidP="007717A9">
      <w:r>
        <w:separator/>
      </w:r>
    </w:p>
  </w:endnote>
  <w:endnote w:type="continuationSeparator" w:id="0">
    <w:p w:rsidR="004723C6" w:rsidRDefault="004723C6"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9322D9">
      <w:rPr>
        <w:rFonts w:ascii="Calibri" w:hAnsi="Calibri"/>
        <w:noProof/>
        <w:sz w:val="18"/>
        <w:szCs w:val="18"/>
      </w:rPr>
      <w:t>6</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C6" w:rsidRDefault="004723C6" w:rsidP="007717A9">
      <w:r>
        <w:separator/>
      </w:r>
    </w:p>
  </w:footnote>
  <w:footnote w:type="continuationSeparator" w:id="0">
    <w:p w:rsidR="004723C6" w:rsidRDefault="004723C6"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A4A7D"/>
    <w:rsid w:val="001C5274"/>
    <w:rsid w:val="001E096D"/>
    <w:rsid w:val="001E198D"/>
    <w:rsid w:val="001E33F8"/>
    <w:rsid w:val="001F1467"/>
    <w:rsid w:val="001F5783"/>
    <w:rsid w:val="002131BA"/>
    <w:rsid w:val="00283457"/>
    <w:rsid w:val="00295FE9"/>
    <w:rsid w:val="002B58FD"/>
    <w:rsid w:val="00302C58"/>
    <w:rsid w:val="00306564"/>
    <w:rsid w:val="00306B1E"/>
    <w:rsid w:val="003130F4"/>
    <w:rsid w:val="0033157F"/>
    <w:rsid w:val="003340BE"/>
    <w:rsid w:val="00364276"/>
    <w:rsid w:val="00372619"/>
    <w:rsid w:val="00392EAB"/>
    <w:rsid w:val="003A2ECF"/>
    <w:rsid w:val="003A484C"/>
    <w:rsid w:val="003B7DCD"/>
    <w:rsid w:val="00401E9B"/>
    <w:rsid w:val="00402BC4"/>
    <w:rsid w:val="00403429"/>
    <w:rsid w:val="00407046"/>
    <w:rsid w:val="00415621"/>
    <w:rsid w:val="004252C6"/>
    <w:rsid w:val="0042577C"/>
    <w:rsid w:val="0042683C"/>
    <w:rsid w:val="00456EC9"/>
    <w:rsid w:val="00462FE9"/>
    <w:rsid w:val="004631C5"/>
    <w:rsid w:val="004723C6"/>
    <w:rsid w:val="004826F8"/>
    <w:rsid w:val="00495261"/>
    <w:rsid w:val="004B50BC"/>
    <w:rsid w:val="00511D2D"/>
    <w:rsid w:val="00513579"/>
    <w:rsid w:val="005141FC"/>
    <w:rsid w:val="00516BDB"/>
    <w:rsid w:val="0052418D"/>
    <w:rsid w:val="0053375D"/>
    <w:rsid w:val="00533979"/>
    <w:rsid w:val="0055261B"/>
    <w:rsid w:val="00581752"/>
    <w:rsid w:val="005A1FE0"/>
    <w:rsid w:val="005E1A55"/>
    <w:rsid w:val="005E642C"/>
    <w:rsid w:val="00606E6E"/>
    <w:rsid w:val="0063343A"/>
    <w:rsid w:val="006470C4"/>
    <w:rsid w:val="00675634"/>
    <w:rsid w:val="006F1C1F"/>
    <w:rsid w:val="00714BC4"/>
    <w:rsid w:val="00750F03"/>
    <w:rsid w:val="00751414"/>
    <w:rsid w:val="007717A9"/>
    <w:rsid w:val="00775E0B"/>
    <w:rsid w:val="007876F2"/>
    <w:rsid w:val="00794D43"/>
    <w:rsid w:val="007C49E5"/>
    <w:rsid w:val="00803BCD"/>
    <w:rsid w:val="008A297C"/>
    <w:rsid w:val="008A5AEC"/>
    <w:rsid w:val="008B13B0"/>
    <w:rsid w:val="008C0D92"/>
    <w:rsid w:val="008C1FEA"/>
    <w:rsid w:val="008C3ADA"/>
    <w:rsid w:val="008E7C4E"/>
    <w:rsid w:val="009176CD"/>
    <w:rsid w:val="009322D9"/>
    <w:rsid w:val="00945B68"/>
    <w:rsid w:val="009655DB"/>
    <w:rsid w:val="00993F09"/>
    <w:rsid w:val="009E0956"/>
    <w:rsid w:val="00A00B60"/>
    <w:rsid w:val="00A0579D"/>
    <w:rsid w:val="00A0731C"/>
    <w:rsid w:val="00A2012D"/>
    <w:rsid w:val="00A32235"/>
    <w:rsid w:val="00A409B6"/>
    <w:rsid w:val="00A65721"/>
    <w:rsid w:val="00A8225B"/>
    <w:rsid w:val="00A824CE"/>
    <w:rsid w:val="00A951C1"/>
    <w:rsid w:val="00AA2740"/>
    <w:rsid w:val="00AF6282"/>
    <w:rsid w:val="00AF7608"/>
    <w:rsid w:val="00B22BB6"/>
    <w:rsid w:val="00B30EB1"/>
    <w:rsid w:val="00B50737"/>
    <w:rsid w:val="00B6022C"/>
    <w:rsid w:val="00B73719"/>
    <w:rsid w:val="00B74B42"/>
    <w:rsid w:val="00B7621D"/>
    <w:rsid w:val="00B76A84"/>
    <w:rsid w:val="00B92A94"/>
    <w:rsid w:val="00B9464A"/>
    <w:rsid w:val="00BB3C73"/>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43E59"/>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8F4D-9EAB-4EBF-8454-0F6B6FA7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3251</Words>
  <Characters>19647</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2019-04-27T16:20:00Z</dcterms:created>
  <dcterms:modified xsi:type="dcterms:W3CDTF">2019-04-27T16:20:00Z</dcterms:modified>
</cp:coreProperties>
</file>