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741A5698"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51675819"/>
      <w:bookmarkStart w:id="1" w:name="_Hlk105977587"/>
      <w:r w:rsidR="002C7975" w:rsidRPr="00930157">
        <w:rPr>
          <w:rFonts w:ascii="Arial" w:hAnsi="Arial" w:cs="Arial"/>
          <w:sz w:val="22"/>
          <w:szCs w:val="22"/>
        </w:rPr>
        <w:t>Prenájom</w:t>
      </w:r>
      <w:r w:rsidR="002C7975">
        <w:rPr>
          <w:rFonts w:ascii="Arial" w:hAnsi="Arial" w:cs="Arial"/>
          <w:sz w:val="22"/>
          <w:szCs w:val="22"/>
        </w:rPr>
        <w:t xml:space="preserve"> </w:t>
      </w:r>
      <w:bookmarkEnd w:id="0"/>
      <w:bookmarkEnd w:id="1"/>
      <w:r w:rsidR="009338D1" w:rsidRPr="009338D1">
        <w:rPr>
          <w:rFonts w:ascii="Arial" w:hAnsi="Arial" w:cs="Arial"/>
          <w:sz w:val="22"/>
          <w:szCs w:val="22"/>
        </w:rPr>
        <w:t>nebytov</w:t>
      </w:r>
      <w:r w:rsidR="00574C8E">
        <w:rPr>
          <w:rFonts w:ascii="Arial" w:hAnsi="Arial" w:cs="Arial"/>
          <w:sz w:val="22"/>
          <w:szCs w:val="22"/>
        </w:rPr>
        <w:t>ých</w:t>
      </w:r>
      <w:r w:rsidR="009338D1" w:rsidRPr="009338D1">
        <w:rPr>
          <w:rFonts w:ascii="Arial" w:hAnsi="Arial" w:cs="Arial"/>
          <w:sz w:val="22"/>
          <w:szCs w:val="22"/>
        </w:rPr>
        <w:t xml:space="preserve"> priestor</w:t>
      </w:r>
      <w:r w:rsidR="00574C8E">
        <w:rPr>
          <w:rFonts w:ascii="Arial" w:hAnsi="Arial" w:cs="Arial"/>
          <w:sz w:val="22"/>
          <w:szCs w:val="22"/>
        </w:rPr>
        <w:t>ov</w:t>
      </w:r>
      <w:r w:rsidR="009338D1" w:rsidRPr="009338D1">
        <w:rPr>
          <w:rFonts w:ascii="Arial" w:hAnsi="Arial" w:cs="Arial"/>
          <w:sz w:val="22"/>
          <w:szCs w:val="22"/>
        </w:rPr>
        <w:t xml:space="preserve">- </w:t>
      </w:r>
      <w:r w:rsidR="00574C8E" w:rsidRPr="00574C8E">
        <w:rPr>
          <w:rFonts w:ascii="Arial" w:hAnsi="Arial" w:cs="Arial"/>
          <w:sz w:val="22"/>
          <w:szCs w:val="22"/>
        </w:rPr>
        <w:t>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w:t>
      </w:r>
      <w:r w:rsidR="009338D1" w:rsidRPr="009338D1">
        <w:rPr>
          <w:rFonts w:ascii="Arial" w:hAnsi="Arial" w:cs="Arial"/>
          <w:sz w:val="22"/>
          <w:szCs w:val="22"/>
        </w:rPr>
        <w:t xml:space="preserve">, o výmere </w:t>
      </w:r>
      <w:r w:rsidR="00574C8E">
        <w:rPr>
          <w:rFonts w:ascii="Arial" w:hAnsi="Arial" w:cs="Arial"/>
          <w:sz w:val="22"/>
          <w:szCs w:val="22"/>
        </w:rPr>
        <w:t>1462</w:t>
      </w:r>
      <w:r w:rsidR="009338D1" w:rsidRPr="009338D1">
        <w:rPr>
          <w:rFonts w:ascii="Arial" w:hAnsi="Arial" w:cs="Arial"/>
          <w:sz w:val="22"/>
          <w:szCs w:val="22"/>
        </w:rPr>
        <w:t xml:space="preserve"> m2, druh pozemku: zastavaná plocha a nádvorie, zapísan</w:t>
      </w:r>
      <w:r w:rsidR="009338D1">
        <w:rPr>
          <w:rFonts w:ascii="Arial" w:hAnsi="Arial" w:cs="Arial"/>
          <w:sz w:val="22"/>
          <w:szCs w:val="22"/>
        </w:rPr>
        <w:t>ej</w:t>
      </w:r>
      <w:r w:rsidR="009338D1" w:rsidRPr="009338D1">
        <w:rPr>
          <w:rFonts w:ascii="Arial" w:hAnsi="Arial" w:cs="Arial"/>
          <w:sz w:val="22"/>
          <w:szCs w:val="22"/>
        </w:rPr>
        <w:t xml:space="preserve"> na liste vlastníctva číslo 11263, vedenom Okresným úradom Komárno, katastrálny odbor, katastrálne územie Komárno, obec Komárno, okres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4F0D5E6" w14:textId="77777777" w:rsidR="00862BE0" w:rsidRDefault="00862BE0" w:rsidP="00257108">
      <w:pPr>
        <w:pStyle w:val="Zkladntext3"/>
        <w:widowControl w:val="0"/>
        <w:spacing w:before="120"/>
        <w:jc w:val="both"/>
        <w:rPr>
          <w:rFonts w:ascii="Arial" w:hAnsi="Arial" w:cs="Arial"/>
          <w:color w:val="auto"/>
        </w:rPr>
      </w:pPr>
    </w:p>
    <w:p w14:paraId="6E6D9309" w14:textId="77777777" w:rsidR="00862BE0" w:rsidRDefault="00862BE0" w:rsidP="00257108">
      <w:pPr>
        <w:pStyle w:val="Zkladntext3"/>
        <w:widowControl w:val="0"/>
        <w:spacing w:before="120"/>
        <w:jc w:val="both"/>
        <w:rPr>
          <w:rFonts w:ascii="Arial" w:hAnsi="Arial" w:cs="Arial"/>
          <w:color w:val="auto"/>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4B0AB074"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 xml:space="preserve">JUDr. PhDr. Martin </w:t>
      </w:r>
      <w:proofErr w:type="spellStart"/>
      <w:r w:rsidRPr="00CB4406">
        <w:rPr>
          <w:rFonts w:ascii="Arial" w:hAnsi="Arial" w:cs="Arial"/>
          <w:color w:val="auto"/>
        </w:rPr>
        <w:t>Fakla</w:t>
      </w:r>
      <w:proofErr w:type="spellEnd"/>
      <w:r w:rsidRPr="00CB4406">
        <w:rPr>
          <w:rFonts w:ascii="Arial" w:hAnsi="Arial" w:cs="Arial"/>
          <w:color w:val="auto"/>
        </w:rPr>
        <w:t>,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2DABF279"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D2B17F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85BB9">
        <w:rPr>
          <w:rFonts w:ascii="Arial" w:hAnsi="Arial" w:cs="Arial"/>
          <w:b/>
          <w:color w:val="auto"/>
        </w:rPr>
        <w:t>1</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247DCA" w:rsidRPr="002C7975">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1E4A9F6B" w:rsidR="00AF61DC" w:rsidRDefault="00574C8E" w:rsidP="009B1FA5">
      <w:pPr>
        <w:pStyle w:val="Nadpis3"/>
        <w:tabs>
          <w:tab w:val="clear" w:pos="540"/>
        </w:tabs>
        <w:ind w:left="709"/>
        <w:rPr>
          <w:rFonts w:eastAsia="Arial" w:cs="Arial"/>
          <w:bCs/>
          <w:szCs w:val="20"/>
        </w:rPr>
      </w:pPr>
      <w:r>
        <w:rPr>
          <w:rFonts w:eastAsia="Arial" w:cs="Arial"/>
          <w:bCs/>
          <w:szCs w:val="20"/>
        </w:rPr>
        <w:t>p</w:t>
      </w:r>
      <w:r w:rsidRPr="00574C8E">
        <w:rPr>
          <w:rFonts w:eastAsia="Arial" w:cs="Arial"/>
          <w:bCs/>
          <w:szCs w:val="20"/>
        </w:rPr>
        <w:t>renájom nebytových priestorov- 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73B4A1E"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21,25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Pr="00181EAD">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 xml:space="preserve">dvadsaťjeden </w:t>
      </w:r>
      <w:r>
        <w:rPr>
          <w:rFonts w:ascii="Arial" w:hAnsi="Arial" w:cs="Arial"/>
          <w:b/>
          <w:bCs/>
          <w:sz w:val="20"/>
          <w:szCs w:val="20"/>
          <w:u w:val="single"/>
        </w:rPr>
        <w:t xml:space="preserve">eur </w:t>
      </w:r>
      <w:r w:rsidR="00574C8E">
        <w:rPr>
          <w:rFonts w:ascii="Arial" w:hAnsi="Arial" w:cs="Arial"/>
          <w:b/>
          <w:bCs/>
          <w:sz w:val="20"/>
          <w:szCs w:val="20"/>
          <w:u w:val="single"/>
        </w:rPr>
        <w:t xml:space="preserve">a dvadsaťpäť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Pr="00181EAD">
        <w:rPr>
          <w:rFonts w:ascii="Arial" w:hAnsi="Arial" w:cs="Arial"/>
          <w:b/>
          <w:bCs/>
          <w:sz w:val="20"/>
          <w:szCs w:val="20"/>
          <w:u w:val="single"/>
        </w:rPr>
        <w:t>rok</w:t>
      </w:r>
      <w:r>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2645FDE0"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Pr="00181EAD">
        <w:rPr>
          <w:rFonts w:ascii="Arial" w:hAnsi="Arial" w:cs="Arial"/>
          <w:sz w:val="20"/>
          <w:szCs w:val="20"/>
        </w:rPr>
        <w:t>rok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24BFC89A"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9338D1">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58190CC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9E252D">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t>Meno: Ing. Jozef Fürek</w:t>
      </w:r>
    </w:p>
    <w:p w14:paraId="2D91A242" w14:textId="5F232ED7"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9E252D" w:rsidRPr="00490E74">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t xml:space="preserve">Email: </w:t>
      </w:r>
      <w:hyperlink r:id="rId12" w:history="1">
        <w:r w:rsidRPr="003976A4">
          <w:rPr>
            <w:rStyle w:val="Hypertextovprepojenie"/>
            <w:rFonts w:ascii="Arial" w:hAnsi="Arial" w:cs="Arial"/>
            <w:sz w:val="20"/>
            <w:szCs w:val="20"/>
          </w:rPr>
          <w:t>jozef.furek@vpas.sk</w:t>
        </w:r>
      </w:hyperlink>
      <w:r>
        <w:rPr>
          <w:rFonts w:ascii="Arial" w:hAnsi="Arial" w:cs="Arial"/>
          <w:sz w:val="20"/>
          <w:szCs w:val="20"/>
        </w:rPr>
        <w:t xml:space="preserve"> </w:t>
      </w:r>
    </w:p>
    <w:p w14:paraId="470A81F9" w14:textId="6BC3724D"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9E252D">
        <w:rPr>
          <w:rFonts w:ascii="Arial" w:hAnsi="Arial" w:cs="Arial"/>
          <w:sz w:val="20"/>
          <w:szCs w:val="20"/>
        </w:rPr>
        <w:t>11 368 640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t>Tel: + 421 911 840 665</w:t>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3"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DB3F555"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574C8E" w:rsidRPr="00574C8E">
        <w:rPr>
          <w:rFonts w:ascii="Arial" w:hAnsi="Arial" w:cs="Arial"/>
          <w:b/>
          <w:bCs/>
          <w:sz w:val="20"/>
          <w:szCs w:val="20"/>
        </w:rPr>
        <w:t>3</w:t>
      </w:r>
      <w:r w:rsidR="0070029B" w:rsidRPr="00574C8E">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8848F9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76CF5">
        <w:rPr>
          <w:rFonts w:ascii="Arial" w:hAnsi="Arial" w:cs="Arial"/>
          <w:b/>
          <w:bCs/>
          <w:sz w:val="20"/>
          <w:szCs w:val="20"/>
        </w:rPr>
        <w:t>14.01.2023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70862E08" w:rsidR="00424A15" w:rsidRDefault="00424A15" w:rsidP="00424A15">
      <w:pPr>
        <w:pStyle w:val="Odsekzoznamu"/>
        <w:ind w:left="360" w:firstLine="348"/>
        <w:jc w:val="both"/>
        <w:rPr>
          <w:rFonts w:ascii="Arial" w:hAnsi="Arial" w:cs="Arial"/>
          <w:sz w:val="20"/>
          <w:szCs w:val="20"/>
        </w:rPr>
      </w:pPr>
    </w:p>
    <w:p w14:paraId="66A0EB5B" w14:textId="77777777" w:rsidR="00A76CF5" w:rsidRDefault="00A76CF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583CA8B3"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/rok</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4A81D921"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1"/>
    <w:bookmarkEnd w:id="62"/>
    <w:bookmarkEnd w:id="63"/>
    <w:bookmarkEnd w:id="64"/>
    <w:bookmarkEnd w:id="65"/>
    <w:bookmarkEnd w:id="66"/>
    <w:bookmarkEnd w:id="67"/>
    <w:bookmarkEnd w:id="68"/>
    <w:p w14:paraId="218F553B" w14:textId="61C7868C" w:rsidR="00383275" w:rsidRDefault="00383275" w:rsidP="00383275"/>
    <w:sectPr w:rsidR="00383275" w:rsidSect="00767962">
      <w:footerReference w:type="even" r:id="rId14"/>
      <w:footerReference w:type="default" r:id="rId15"/>
      <w:headerReference w:type="first" r:id="rId16"/>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9010" w14:textId="77777777" w:rsidR="00FE08C8" w:rsidRDefault="00FE08C8">
      <w:r>
        <w:separator/>
      </w:r>
    </w:p>
  </w:endnote>
  <w:endnote w:type="continuationSeparator" w:id="0">
    <w:p w14:paraId="682A65E4" w14:textId="77777777" w:rsidR="00FE08C8" w:rsidRDefault="00FE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7C69" w14:textId="77777777" w:rsidR="00FE08C8" w:rsidRDefault="00FE08C8">
      <w:r>
        <w:separator/>
      </w:r>
    </w:p>
  </w:footnote>
  <w:footnote w:type="continuationSeparator" w:id="0">
    <w:p w14:paraId="6B66345C" w14:textId="77777777" w:rsidR="00FE08C8" w:rsidRDefault="00FE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6CF5"/>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furek@vpa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3210</Words>
  <Characters>20219</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23383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2022-11-18T17:48:00Z</dcterms:created>
  <dcterms:modified xsi:type="dcterms:W3CDTF">2022-12-15T09:51:00Z</dcterms:modified>
</cp:coreProperties>
</file>