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ytu"/>
        <w:spacing w:lineRule="auto" w:line="360" w:before="240" w:after="120"/>
        <w:jc w:val="right"/>
        <w:rPr>
          <w:rFonts w:ascii="Tahoma" w:hAnsi="Tahoma" w:eastAsia="NSimSun" w:cs="Lucida Sans"/>
          <w:b w:val="false"/>
          <w:b w:val="false"/>
          <w:bCs w:val="false"/>
          <w:color w:val="000000"/>
          <w:kern w:val="2"/>
          <w:sz w:val="24"/>
          <w:szCs w:val="24"/>
          <w:shd w:fill="auto" w:val="clear"/>
          <w:lang w:val="pl-PL" w:eastAsia="zh-CN" w:bidi="hi-IN"/>
        </w:rPr>
      </w:pPr>
      <w:r>
        <w:rPr>
          <w:rFonts w:eastAsia="NSimSun" w:cs="Lucida Sans" w:ascii="Tahoma" w:hAnsi="Tahoma"/>
          <w:b w:val="false"/>
          <w:bCs w:val="false"/>
          <w:color w:val="000000"/>
          <w:kern w:val="2"/>
          <w:sz w:val="24"/>
          <w:szCs w:val="24"/>
          <w:shd w:fill="auto" w:val="clear"/>
          <w:lang w:val="pl-PL" w:eastAsia="zh-CN" w:bidi="hi-IN"/>
        </w:rPr>
        <w:t>Załącznik nr 7 – Opis przedmiotu zamówienia</w:t>
      </w:r>
    </w:p>
    <w:p>
      <w:pPr>
        <w:pStyle w:val="Tytu"/>
        <w:spacing w:lineRule="auto" w:line="360" w:before="240" w:after="120"/>
        <w:rPr>
          <w:rFonts w:ascii="Tahoma" w:hAnsi="Tahoma"/>
          <w:sz w:val="48"/>
          <w:szCs w:val="56"/>
        </w:rPr>
      </w:pPr>
      <w:r>
        <w:rPr>
          <w:rFonts w:ascii="Tahoma" w:hAnsi="Tahoma"/>
          <w:sz w:val="48"/>
          <w:szCs w:val="56"/>
        </w:rPr>
        <w:t>Opis przedmiotu zamówienia</w:t>
      </w:r>
    </w:p>
    <w:p>
      <w:pPr>
        <w:pStyle w:val="Tretekstu"/>
        <w:spacing w:lineRule="auto" w:line="360" w:before="0" w:after="140"/>
        <w:jc w:val="center"/>
        <w:rPr>
          <w:rFonts w:ascii="Tahoma" w:hAnsi="Tahoma"/>
          <w:b/>
          <w:b/>
          <w:bCs/>
        </w:rPr>
      </w:pPr>
      <w:r>
        <w:rPr>
          <w:rFonts w:ascii="Tahoma" w:hAnsi="Tahoma"/>
          <w:b/>
          <w:bCs/>
        </w:rPr>
        <w:t>dla przetargu pod nazw</w:t>
      </w:r>
      <w:r>
        <w:rPr>
          <w:rFonts w:ascii="Tahoma" w:hAnsi="Tahoma"/>
          <w:b/>
          <w:bCs/>
          <w:shd w:fill="auto" w:val="clear"/>
        </w:rPr>
        <w:t>ą: Dostawa sprzętu sieciowego pozwalającego na przyłączenie do szerokopasmowej sieci w ramach projektu grantowego „Cyfrowa Gmina”</w:t>
      </w:r>
    </w:p>
    <w:p>
      <w:pPr>
        <w:pStyle w:val="Normal"/>
        <w:spacing w:lineRule="auto" w:line="360"/>
        <w:jc w:val="left"/>
        <w:rPr>
          <w:rFonts w:ascii="Tahoma" w:hAnsi="Tahoma" w:eastAsia="NSimSun" w:cs="Lucida Sans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Tahoma" w:hAnsi="Tahoma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Normal"/>
        <w:numPr>
          <w:ilvl w:val="0"/>
          <w:numId w:val="2"/>
        </w:numPr>
        <w:spacing w:lineRule="auto" w:line="360"/>
        <w:jc w:val="both"/>
        <w:rPr/>
      </w:pPr>
      <w:r>
        <w:rPr>
          <w:rFonts w:eastAsia="NSimSun" w:cs="Lucida Sans" w:ascii="Tahoma" w:hAnsi="Tahoma"/>
          <w:color w:val="000000"/>
          <w:kern w:val="2"/>
          <w:sz w:val="24"/>
          <w:szCs w:val="24"/>
          <w:shd w:fill="auto" w:val="clear"/>
          <w:lang w:val="pl-PL" w:eastAsia="zh-CN" w:bidi="hi-IN"/>
        </w:rPr>
        <w:t>Przedmiotem zamówienia jest dostawa do Urzędu Miejskiego w Andrychowie, ul. Rynek 15, 34-120 Andrychów sprzętu sieciowego pozwalającego na przyłączenie do szerokopasmowej sieci w ramach projektu grantowego „Cyfrowa Gmina”  w ramach umowy o powierzenie grantu o numerze 317/1/2021 w ramach Progr</w:t>
      </w:r>
      <w:r>
        <w:rPr>
          <w:rFonts w:eastAsia="NSimSun" w:cs="Lucida Sans" w:ascii="Tahoma" w:hAnsi="Tahoma"/>
          <w:color w:val="auto"/>
          <w:kern w:val="2"/>
          <w:sz w:val="24"/>
          <w:szCs w:val="24"/>
          <w:lang w:val="pl-PL" w:eastAsia="zh-CN" w:bidi="hi-IN"/>
        </w:rPr>
        <w:t>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POPC.05.01.00-00-0001/21-00.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/>
      </w:pPr>
      <w:r>
        <w:rPr>
          <w:rFonts w:eastAsia="NSimSun" w:cs="Lucida Sans" w:ascii="Tahoma" w:hAnsi="Tahoma"/>
          <w:color w:val="auto"/>
          <w:kern w:val="2"/>
          <w:sz w:val="24"/>
          <w:szCs w:val="24"/>
          <w:lang w:val="pl-PL" w:eastAsia="zh-CN" w:bidi="hi-IN"/>
        </w:rPr>
        <w:t xml:space="preserve">Wszystkie oferowane artykuły mają być: fabrycznie nowe, oryginalnie zapakowane, nieregenerowane, nieuszkodzone, oraz </w:t>
      </w:r>
      <w:r>
        <w:rPr>
          <w:rFonts w:eastAsia="NSimSun" w:cs="Calibri" w:ascii="Tahoma" w:hAnsi="Tahoma"/>
          <w:bCs/>
          <w:color w:val="auto"/>
          <w:kern w:val="2"/>
          <w:sz w:val="24"/>
          <w:szCs w:val="24"/>
          <w:lang w:val="pl-PL" w:eastAsia="zh-CN" w:bidi="hi-IN"/>
        </w:rPr>
        <w:t>pochodzić z legalnego kanału sprzedaży producenta.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Tahoma" w:hAnsi="Tahoma" w:eastAsia="NSimSun" w:cs="Lucida Sans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Tahoma" w:hAnsi="Tahoma"/>
          <w:color w:val="auto"/>
          <w:kern w:val="2"/>
          <w:sz w:val="24"/>
          <w:szCs w:val="24"/>
          <w:lang w:val="pl-PL" w:eastAsia="zh-CN" w:bidi="hi-IN"/>
        </w:rPr>
        <w:t xml:space="preserve">Wykonawca zobowiązany jest dostarczać własnym transportem i na własny koszt przedmiot zamówienia na wskazany adres. 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Tahoma" w:hAnsi="Tahoma" w:eastAsia="NSimSun" w:cs="Lucida Sans"/>
          <w:color w:val="000000"/>
          <w:kern w:val="2"/>
          <w:sz w:val="24"/>
          <w:szCs w:val="24"/>
          <w:shd w:fill="auto" w:val="clear"/>
          <w:lang w:val="pl-PL" w:eastAsia="zh-CN" w:bidi="hi-IN"/>
        </w:rPr>
      </w:pPr>
      <w:r>
        <w:rPr>
          <w:rFonts w:eastAsia="NSimSun" w:cs="Lucida Sans" w:ascii="Tahoma" w:hAnsi="Tahoma"/>
          <w:color w:val="000000"/>
          <w:kern w:val="2"/>
          <w:sz w:val="24"/>
          <w:szCs w:val="24"/>
          <w:shd w:fill="auto" w:val="clear"/>
          <w:lang w:val="pl-PL" w:eastAsia="zh-CN" w:bidi="hi-IN"/>
        </w:rPr>
        <w:t>Zaoferowane parametry równoważne nie mogą być gorsze od wskazanych i mają gwarantować osiągnięcie zakładanych wydajności. Wykonawca, który powołuje się na rozwiązania równoważne opisane przez Zamawiającego, jest obowiązany wykazać, że oferowane przez niego dostawy spełniają wymagania określone przez Zamawiającego.</w:t>
      </w:r>
    </w:p>
    <w:p>
      <w:pPr>
        <w:pStyle w:val="Western"/>
        <w:numPr>
          <w:ilvl w:val="0"/>
          <w:numId w:val="1"/>
        </w:numPr>
        <w:spacing w:before="280" w:after="198"/>
        <w:jc w:val="center"/>
        <w:rPr/>
      </w:pPr>
      <w:r>
        <w:rPr>
          <w:rFonts w:cs="Arial" w:ascii="Arial" w:hAnsi="Arial"/>
          <w:b/>
          <w:bCs/>
          <w:sz w:val="44"/>
          <w:szCs w:val="44"/>
          <w:u w:val="single"/>
        </w:rPr>
        <w:br/>
      </w:r>
      <w:r>
        <w:rPr>
          <w:rFonts w:cs="Arial" w:ascii="Arial" w:hAnsi="Arial"/>
          <w:b/>
          <w:bCs/>
          <w:sz w:val="32"/>
          <w:szCs w:val="32"/>
          <w:u w:val="single"/>
        </w:rPr>
        <w:t xml:space="preserve">Szczegółowy opis </w:t>
      </w:r>
      <w:r>
        <w:rPr>
          <w:rFonts w:eastAsia="Times New Roman" w:cs="Arial" w:ascii="Arial" w:hAnsi="Arial"/>
          <w:b/>
          <w:bCs/>
          <w:color w:val="auto"/>
          <w:kern w:val="0"/>
          <w:sz w:val="32"/>
          <w:szCs w:val="32"/>
          <w:u w:val="single"/>
          <w:lang w:val="pl-PL" w:eastAsia="pl-PL" w:bidi="ar-SA"/>
        </w:rPr>
        <w:t>urządzeń sieciowych.</w:t>
        <w:br/>
      </w:r>
    </w:p>
    <w:p>
      <w:pPr>
        <w:pStyle w:val="Nagwek1"/>
        <w:numPr>
          <w:ilvl w:val="0"/>
          <w:numId w:val="1"/>
        </w:numPr>
        <w:rPr>
          <w:sz w:val="36"/>
          <w:szCs w:val="32"/>
          <w:u w:val="single"/>
        </w:rPr>
      </w:pPr>
      <w:r>
        <w:rPr>
          <w:rFonts w:ascii="Arial" w:hAnsi="Arial"/>
          <w:sz w:val="36"/>
          <w:szCs w:val="32"/>
          <w:u w:val="single"/>
        </w:rPr>
        <w:t>Przełącznik sieciowy – 6 sztuk</w:t>
      </w:r>
    </w:p>
    <w:p>
      <w:pPr>
        <w:pStyle w:val="Tretekstu"/>
        <w:rPr>
          <w:rFonts w:ascii="Arial" w:hAnsi="Arial"/>
          <w:sz w:val="12"/>
          <w:szCs w:val="32"/>
        </w:rPr>
      </w:pPr>
      <w:r>
        <w:rPr>
          <w:rFonts w:ascii="Arial" w:hAnsi="Arial"/>
          <w:sz w:val="12"/>
          <w:szCs w:val="32"/>
        </w:rPr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Zamawiający jest w posiadaniu rozwiązania „FortiGate. Model 100F*”. W ramach rozbudowy istniejącego systemu, której celem jest przeniesienie mechanizmów bezpieczeństwa na warstwę dostępową, wymaganym jest dostarczenie przełącznika współpracującego z istniejącym rozwiązaniem Fortigate w zakresie opisanym w sekcjach: „Dodatkowe funkcje urządzenia przy integracji z systemem centralnego zarządzania oraz „Funkcje urządzenia przy integracji z systemem centralnego zarządzania lub bezpieczeństwa”, o parametrach jak niżej.</w:t>
        <w:br/>
        <w:t>Wszystkie dostarczone urządzenia muszą umożliwiać logowanie zdarzeń do centralnego systemu zbierania i korelacji zdarzeń FortiCloud* oraz FortiAnalyzer* posiadanego przez Zamawiającego.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Interfejsy sieciowe - wymagania minimalne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Wymaganym jest aby przełącznik dysponował niezależnymi interfejsami sieciowymi (nie dopuszcza się portów typu combo) w ilości: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 xml:space="preserve">48 portów GE RJ-45., w tym porty PoE w ilości co najmniej: </w:t>
      </w:r>
      <w:r>
        <w:rPr>
          <w:rFonts w:ascii="Arial" w:hAnsi="Arial"/>
          <w:sz w:val="28"/>
          <w:szCs w:val="28"/>
        </w:rPr>
        <w:t>24</w:t>
      </w:r>
      <w:r>
        <w:rPr>
          <w:rFonts w:ascii="Arial" w:hAnsi="Arial"/>
          <w:sz w:val="28"/>
          <w:szCs w:val="28"/>
        </w:rPr>
        <w:t>, zgodne ze standardem: 802.3 af oraz 802.3 at.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4 porty 10 GE SFP+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Zarządzanie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b w:val="false"/>
          <w:bCs w:val="false"/>
          <w:sz w:val="28"/>
          <w:szCs w:val="28"/>
        </w:rPr>
        <w:t>Dedykowany 1 interfejs Ethernet RJ-45 do zarządzania.</w:t>
      </w:r>
    </w:p>
    <w:p>
      <w:pPr>
        <w:pStyle w:val="Tretekstu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•</w:t>
      </w:r>
      <w:r>
        <w:rPr>
          <w:rFonts w:ascii="Arial" w:hAnsi="Arial"/>
          <w:b w:val="false"/>
          <w:bCs w:val="false"/>
          <w:sz w:val="28"/>
          <w:szCs w:val="28"/>
        </w:rPr>
        <w:tab/>
        <w:t>Wbudowany 1 port konsoli szeregowej do pełnego zarządzania.</w:t>
      </w:r>
    </w:p>
    <w:p>
      <w:pPr>
        <w:pStyle w:val="Tretekstu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•</w:t>
      </w:r>
      <w:r>
        <w:rPr>
          <w:rFonts w:ascii="Arial" w:hAnsi="Arial"/>
          <w:b w:val="false"/>
          <w:bCs w:val="false"/>
          <w:sz w:val="28"/>
          <w:szCs w:val="28"/>
        </w:rPr>
        <w:tab/>
        <w:t>Zarządzanie przez: command line (w tym poprzez SSH) oraz poprzez graficzny interfejs z wykorzystaniem przeglądarki (HTTPS).</w:t>
      </w:r>
    </w:p>
    <w:p>
      <w:pPr>
        <w:pStyle w:val="Tretekstu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•</w:t>
      </w:r>
      <w:r>
        <w:rPr>
          <w:rFonts w:ascii="Arial" w:hAnsi="Arial"/>
          <w:b w:val="false"/>
          <w:bCs w:val="false"/>
          <w:sz w:val="28"/>
          <w:szCs w:val="28"/>
        </w:rPr>
        <w:tab/>
        <w:t>Wsparcie dla SNMP w wersjach 1, 2, 3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Funkcja zarządzania poprzez dedykowany kontroler przełączników lub system zarządzania, pozwalający na  automatyczne wykrywanie, centralne konfigurowanie oraz zarządzanie przełącznikami.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Funkcja aktualizacji oprogramowania przez TFTP/FTP oraz za pomocą GUI.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Konfiguracja w formie pliku tekstowego umożliwiającego edycję konfiguracji offline.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Funkcja backupu konfiguracji z poziomu GUI jak również z CLI (TFTP/FTP).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Funkcja definiowania administratorów lokalnie oraz wykorzystanie w tym celu z serwerów Radius i TACACS+.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Funkcja definiowania ról administratorów przydzielających tryb dostępu (brak, tylko odczyt, odczyt oraz modyfikacja) do wybranych części konfiguracji.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  <w:r>
        <w:br w:type="page"/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Parametry wydajnościowe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Przepustowość urządzenia - min. 100 Gbps (pełna prędkość, tzw. wire-speed na wszystkich portach) oraz min.150 Mpps.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Tablica adresów MAC o pojemności co najmniej 16 k wpisów.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Opóźnienie wprowadzane przez przełącznik - poniżej 1 mikrosekund.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Wymagane funkcje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Funkcja automatycznej negocjacji prędkości i duplexu dla połączeń.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Obsługa Jumbo Frames.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Obsługa 802.1d (Spanning Tree), 802.1w (Rapid Spanning Tree), 802.1s (Multiple Spanning Tree).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Agregacja portów zgodna ze standardem 802.3ad.</w:t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•</w:t>
      </w:r>
      <w:r>
        <w:rPr>
          <w:rFonts w:ascii="Arial" w:hAnsi="Arial"/>
          <w:b w:val="false"/>
          <w:bCs w:val="false"/>
          <w:sz w:val="28"/>
          <w:szCs w:val="28"/>
        </w:rPr>
        <w:tab/>
        <w:t>Obsługa co najmniej 4000 VLAN-ów, zgodna ze standardem 802.1Q.</w:t>
      </w:r>
    </w:p>
    <w:p>
      <w:pPr>
        <w:pStyle w:val="Tretekstu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•</w:t>
      </w:r>
      <w:r>
        <w:rPr>
          <w:rFonts w:ascii="Arial" w:hAnsi="Arial"/>
          <w:b w:val="false"/>
          <w:bCs w:val="false"/>
          <w:sz w:val="28"/>
          <w:szCs w:val="28"/>
        </w:rPr>
        <w:tab/>
        <w:t>Obsługa routingu statycznego.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Obsługa Quality of Service, w tym zakresie: 802.1p oraz DSCP.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Port-mirroring.</w:t>
      </w:r>
    </w:p>
    <w:p>
      <w:pPr>
        <w:pStyle w:val="Tretekstu"/>
        <w:rPr>
          <w:rFonts w:ascii="Arial" w:hAnsi="Arial"/>
          <w:sz w:val="28"/>
          <w:szCs w:val="28"/>
          <w:shd w:fill="auto" w:val="clear"/>
        </w:rPr>
      </w:pPr>
      <w:r>
        <w:rPr>
          <w:rFonts w:ascii="Arial" w:hAnsi="Arial"/>
          <w:sz w:val="28"/>
          <w:szCs w:val="28"/>
          <w:shd w:fill="auto" w:val="clear"/>
        </w:rPr>
        <w:t>•</w:t>
      </w:r>
      <w:r>
        <w:rPr>
          <w:rFonts w:ascii="Arial" w:hAnsi="Arial"/>
          <w:sz w:val="28"/>
          <w:szCs w:val="28"/>
          <w:shd w:fill="auto" w:val="clear"/>
        </w:rPr>
        <w:tab/>
        <w:t>Uwierzytelnianie 802.1x na poziomie portu.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shd w:fill="auto" w:val="clear"/>
        </w:rPr>
        <w:t>•</w:t>
      </w:r>
      <w:r>
        <w:rPr>
          <w:rFonts w:ascii="Arial" w:hAnsi="Arial"/>
          <w:sz w:val="28"/>
          <w:szCs w:val="28"/>
          <w:shd w:fill="auto" w:val="clear"/>
        </w:rPr>
        <w:tab/>
        <w:t>Uwierzytelnianie 802.1x w op</w:t>
      </w:r>
      <w:r>
        <w:rPr>
          <w:rFonts w:ascii="Arial" w:hAnsi="Arial"/>
          <w:sz w:val="28"/>
          <w:szCs w:val="28"/>
        </w:rPr>
        <w:t>arciu o  adres MAC.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W ramach 802.1x wsparcie dla dedykowanego VLANu dla gości (guest VLAN).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W ramach 802.1x wsparcie dla  urządzeń, które nie obsługują tego protokołu, na podstawie adresu MAC urządzenia.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W ramach 802.1x  wsparcie dla dynamicznego przypisywania VLAN.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Obsługa protokołu sFlow.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Dodatkowe funkcje urządzenia przy integracji z systemem centralnego zarządzania / NAC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Przełączniki muszą wspierać tryb pracy, w którym są zarządzane przez fizyczny element nadrzędny (przełącznik lub dedykowany kontroler tzw. port extender lub element leaf w architekturze spine-leaf). Zakres zarządzania przez element nadrzędny musi zawierać co najmniej: 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Funkcja uruchomienia Captive Portalu w celu identyfikacji użytkowników.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 xml:space="preserve">Centralne zarządzanie sieciami VLAN. 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Rozpoznawanie urządzeń uzyskujących dostęp do sieci.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Obsługa białych i czarnych list adresów MAC.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Wykrywanie aplikacji komunikujących się w sieci.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•</w:t>
      </w:r>
      <w:r>
        <w:rPr>
          <w:rFonts w:ascii="Arial" w:hAnsi="Arial"/>
          <w:sz w:val="28"/>
          <w:szCs w:val="28"/>
        </w:rPr>
        <w:tab/>
        <w:t>W przypadku gdy do uruchomienia na przełączniku w/w funkcji, polegających na integracji z systemem centralnego zarządzania lub NAC wymagane są licencje, muszą być one dostarczone.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Moduły sieciowe: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Wraz z przełącznikami należy dostarczyć następujące moduły sieciowe: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10GE SFP+ transceiver module short range for all systems with SFP+ and SFP/SFP+ slots </w:t>
      </w:r>
      <w:r>
        <w:rPr>
          <w:rFonts w:ascii="Arial" w:hAnsi="Arial"/>
          <w:b/>
          <w:bCs/>
          <w:sz w:val="28"/>
          <w:szCs w:val="28"/>
        </w:rPr>
        <w:t>– 4 sztuki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10GE SFP+ transceiver module long range for all systems with SFP+ and SFP/SFP+ slots </w:t>
      </w:r>
      <w:r>
        <w:rPr>
          <w:rFonts w:ascii="Arial" w:hAnsi="Arial"/>
          <w:b/>
          <w:bCs/>
          <w:sz w:val="28"/>
          <w:szCs w:val="28"/>
        </w:rPr>
        <w:t>– 2 sztuki</w:t>
      </w:r>
    </w:p>
    <w:p>
      <w:pPr>
        <w:pStyle w:val="Tretekstu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Tretekstu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Gwarancja</w:t>
      </w:r>
    </w:p>
    <w:p>
      <w:pPr>
        <w:pStyle w:val="Tretekstu"/>
        <w:spacing w:before="0" w:after="14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Przełączniki sieciowe muszą być objęte serwisem gwarancyjnym  w</w:t>
      </w:r>
      <w:r>
        <w:rPr>
          <w:rFonts w:ascii="Arial" w:hAnsi="Arial"/>
          <w:sz w:val="28"/>
          <w:szCs w:val="28"/>
          <w:shd w:fill="auto" w:val="clear"/>
        </w:rPr>
        <w:t xml:space="preserve"> okresie wskazanym w kryteriach oceny ofert, polegającym na naprawie lub wymianie urządzenia w przypadku jego wadliwości. W ramach tego serwisu </w:t>
      </w:r>
      <w:r>
        <w:rPr>
          <w:rFonts w:ascii="Arial" w:hAnsi="Arial"/>
          <w:sz w:val="28"/>
          <w:szCs w:val="28"/>
        </w:rPr>
        <w:t xml:space="preserve">musi być zapewniony również dostęp do aktualizacji oprogramowania oraz wsparcie techniczne w trybie 24x7. Okres gwarancji na przełączniki sieciowe stanowi kryterium oceny ofert. Wymagana gwarancja na pozostały sprzęt 24 miesiące. 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gutter="0" w:header="567" w:top="1678" w:footer="567" w:bottom="170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360" w:before="0" w:after="160"/>
      <w:rPr>
        <w:rFonts w:ascii="Tahoma" w:hAnsi="Tahoma"/>
        <w:b w:val="false"/>
        <w:b w:val="false"/>
        <w:bCs w:val="false"/>
        <w:color w:val="000000"/>
        <w:sz w:val="20"/>
        <w:szCs w:val="20"/>
      </w:rPr>
    </w:pPr>
    <w:r>
      <w:rPr>
        <w:rFonts w:ascii="Tahoma" w:hAnsi="Tahoma"/>
        <w:b w:val="false"/>
        <w:bCs w:val="false"/>
        <w:color w:val="000000"/>
        <w:sz w:val="20"/>
        <w:szCs w:val="20"/>
      </w:rPr>
      <w:t>* - użyte nazwy własne odpowiadają typowi sprzętu oraz oprogramowania aktualnie użytkowanego przez Zamawiającego i zgodnego z posiadanym pozostałym sprzętem i oprogramowaniem.</w:t>
    </w:r>
  </w:p>
  <w:p>
    <w:pPr>
      <w:pStyle w:val="Normal"/>
      <w:spacing w:lineRule="auto" w:line="360" w:before="0" w:after="160"/>
      <w:jc w:val="right"/>
      <w:rPr>
        <w:rFonts w:ascii="Tahoma" w:hAnsi="Tahoma"/>
        <w:b w:val="false"/>
        <w:b w:val="false"/>
        <w:bCs w:val="false"/>
        <w:color w:val="000000"/>
        <w:sz w:val="20"/>
        <w:szCs w:val="20"/>
      </w:rPr>
    </w:pPr>
    <w:r>
      <w:rPr>
        <w:rFonts w:ascii="Tahoma" w:hAnsi="Tahoma"/>
        <w:b w:val="false"/>
        <w:bCs w:val="false"/>
        <w:color w:val="000000"/>
        <w:sz w:val="20"/>
        <w:szCs w:val="20"/>
      </w:rPr>
      <w:fldChar w:fldCharType="begin"/>
    </w:r>
    <w:r>
      <w:rPr>
        <w:sz w:val="20"/>
        <w:b w:val="false"/>
        <w:szCs w:val="20"/>
        <w:bCs w:val="false"/>
        <w:rFonts w:ascii="Tahoma" w:hAnsi="Tahoma"/>
        <w:color w:val="000000"/>
      </w:rPr>
      <w:instrText xml:space="preserve"> PAGE </w:instrText>
    </w:r>
    <w:r>
      <w:rPr>
        <w:sz w:val="20"/>
        <w:b w:val="false"/>
        <w:szCs w:val="20"/>
        <w:bCs w:val="false"/>
        <w:rFonts w:ascii="Tahoma" w:hAnsi="Tahoma"/>
        <w:color w:val="000000"/>
      </w:rPr>
      <w:fldChar w:fldCharType="separate"/>
    </w:r>
    <w:r>
      <w:rPr>
        <w:sz w:val="20"/>
        <w:b w:val="false"/>
        <w:szCs w:val="20"/>
        <w:bCs w:val="false"/>
        <w:rFonts w:ascii="Tahoma" w:hAnsi="Tahoma"/>
        <w:color w:val="000000"/>
      </w:rPr>
      <w:t>7</w:t>
    </w:r>
    <w:r>
      <w:rPr>
        <w:sz w:val="20"/>
        <w:b w:val="false"/>
        <w:szCs w:val="20"/>
        <w:bCs w:val="false"/>
        <w:rFonts w:ascii="Tahoma" w:hAnsi="Tahoma"/>
        <w:color w:val="00000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widowControl/>
      <w:suppressLineNumbers/>
      <w:suppressAutoHyphens w:val="true"/>
      <w:overflowPunct w:val="false"/>
      <w:bidi w:val="0"/>
      <w:spacing w:before="0" w:after="0"/>
      <w:ind w:left="0" w:right="0" w:firstLine="2381"/>
      <w:jc w:val="left"/>
      <w:rPr/>
    </w:pPr>
    <w:r>
      <w:rPr/>
      <w:drawing>
        <wp:inline distT="0" distB="0" distL="0" distR="0">
          <wp:extent cx="5760720" cy="596900"/>
          <wp:effectExtent l="0" t="0" r="0" b="0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widowControl/>
      <w:suppressLineNumbers/>
      <w:suppressAutoHyphens w:val="true"/>
      <w:overflowPunct w:val="false"/>
      <w:bidi w:val="0"/>
      <w:spacing w:before="0" w:after="0"/>
      <w:ind w:left="0" w:right="0" w:hanging="0"/>
      <w:jc w:val="center"/>
      <w:rPr>
        <w:rFonts w:ascii="Tahoma" w:hAnsi="Tahoma"/>
        <w:sz w:val="21"/>
        <w:szCs w:val="21"/>
      </w:rPr>
    </w:pPr>
    <w:r>
      <w:rPr>
        <w:rFonts w:ascii="Tahoma" w:hAnsi="Tahoma"/>
        <w:sz w:val="21"/>
        <w:szCs w:val="21"/>
      </w:rPr>
      <w:t>Sfinansowano w ramach reakcji Unii na pandemię COVID-19</w:t>
    </w:r>
  </w:p>
  <w:p>
    <w:pPr>
      <w:pStyle w:val="Gwka"/>
      <w:widowControl/>
      <w:suppressLineNumbers/>
      <w:suppressAutoHyphens w:val="true"/>
      <w:overflowPunct w:val="false"/>
      <w:bidi w:val="0"/>
      <w:spacing w:before="0" w:after="0"/>
      <w:ind w:left="0" w:right="0" w:hanging="0"/>
      <w:jc w:val="center"/>
      <w:rPr>
        <w:rFonts w:ascii="Tahoma" w:hAnsi="Tahoma"/>
        <w:sz w:val="9"/>
        <w:szCs w:val="21"/>
      </w:rPr>
    </w:pPr>
    <w:r>
      <w:rPr>
        <w:rFonts w:ascii="Tahoma" w:hAnsi="Tahoma"/>
        <w:sz w:val="9"/>
        <w:szCs w:val="2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>
        <w:sz w:val="32"/>
        <w:rFonts w:ascii="Tahoma" w:hAnsi="Tahoma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agwek"/>
    <w:next w:val="Tretekstu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Nagwek5">
    <w:name w:val="Heading 5"/>
    <w:basedOn w:val="Nagwek"/>
    <w:next w:val="Tretekstu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retekstu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retekstu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retekstu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retekstu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/>
      <w:u w:val="single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1">
    <w:name w:val="Domyślna czcionka akapitu1"/>
    <w:qFormat/>
    <w:rPr/>
  </w:style>
  <w:style w:type="character" w:styleId="AkapitzlistZnaknormalnytekstZnakAkapitzlistZnakL1ZnakNumerowanieZnakListParagraphZnak2headingZnakAwyliczenieZnakKPodwolanieZnakAkapitzlist5ZnakmazwyliczenieZnakopisdzialaniaZnak">
    <w:name w:val="Akapit z listą Znak,normalny tekst Znak,Akapit z list¹ Znak,L1 Znak,Numerowanie Znak,List Paragraph Znak,2 heading Znak,A_wyliczenie Znak,K-P_odwolanie Znak,Akapit z listą5 Znak,maz_wyliczenie Znak,opis dzialania Znak"/>
    <w:qFormat/>
    <w:rPr>
      <w:rFonts w:eastAsia="Calibri"/>
      <w:sz w:val="26"/>
      <w:lang w:val="pl-PL"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7285" w:leader="none"/>
        <w:tab w:val="right" w:pos="14570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Gwka">
    <w:name w:val="Header"/>
    <w:basedOn w:val="Gwkaistopka"/>
    <w:pPr>
      <w:suppressLineNumbers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10">
    <w:name w:val="Nagłówek 10"/>
    <w:basedOn w:val="Nagwek"/>
    <w:next w:val="Tretekstu"/>
    <w:qFormat/>
    <w:pPr>
      <w:numPr>
        <w:ilvl w:val="0"/>
        <w:numId w:val="0"/>
      </w:numPr>
      <w:spacing w:before="60" w:after="60"/>
      <w:outlineLvl w:val="8"/>
    </w:pPr>
    <w:rPr>
      <w:b/>
      <w:bCs/>
      <w:sz w:val="21"/>
      <w:szCs w:val="21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31">
    <w:name w:val="Tekst podstawowy 31"/>
    <w:basedOn w:val="Normal"/>
    <w:qFormat/>
    <w:pPr/>
    <w:rPr>
      <w:b/>
      <w:sz w:val="28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Western">
    <w:name w:val="western"/>
    <w:basedOn w:val="Normal"/>
    <w:qFormat/>
    <w:pPr>
      <w:spacing w:before="280" w:after="142"/>
    </w:pPr>
    <w:rPr>
      <w:rFonts w:ascii="Liberation Serif" w:hAnsi="Liberation Serif" w:eastAsia="Times New Roman" w:cs="Liberation Serif"/>
      <w:sz w:val="24"/>
      <w:szCs w:val="24"/>
      <w:lang w:eastAsia="pl-PL"/>
    </w:rPr>
  </w:style>
  <w:style w:type="paragraph" w:styleId="NormalTable">
    <w:name w:val="Normal Table"/>
    <w:qFormat/>
    <w:pPr>
      <w:widowControl/>
      <w:suppressAutoHyphens w:val="true"/>
      <w:overflowPunct w:val="false"/>
      <w:bidi w:val="0"/>
      <w:spacing w:before="0" w:after="0"/>
      <w:jc w:val="left"/>
      <w:textAlignment w:val="auto"/>
    </w:pPr>
    <w:rPr>
      <w:rFonts w:ascii="Times New Roman" w:hAnsi="Times New Roman" w:eastAsia="Cambria Math" w:cs="Times New Roman"/>
      <w:color w:val="auto"/>
      <w:kern w:val="0"/>
      <w:sz w:val="20"/>
      <w:szCs w:val="20"/>
      <w:lang w:val="pl-PL" w:eastAsia="pl-PL" w:bidi="ar-SA"/>
    </w:rPr>
  </w:style>
  <w:style w:type="paragraph" w:styleId="ListParagraphnormalnytekstAkapitzlistL1NumerowanieListParagraph2headingAwyliczenieKPodwolanieAkapitzlist5mazwyliczenieopisdzialania">
    <w:name w:val="List Paragraph,normalny tekst,Akapit z list¹,L1,Numerowanie,List Paragraph,2 heading,A_wyliczenie,K-P_odwolanie,Akapit z listą5,maz_wyliczenie,opis dzialania"/>
    <w:basedOn w:val="Normal"/>
    <w:qFormat/>
    <w:pPr>
      <w:spacing w:before="0" w:after="0"/>
      <w:ind w:left="720" w:right="0" w:hanging="0"/>
      <w:contextualSpacing/>
      <w:jc w:val="both"/>
    </w:pPr>
    <w:rPr>
      <w:rFonts w:ascii="Times New Roman" w:hAnsi="Times New Roman" w:eastAsia="Calibri"/>
      <w:sz w:val="26"/>
      <w:szCs w:val="26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5653</TotalTime>
  <Application>LibreOffice/7.4.5.1$Windows_X86_64 LibreOffice_project/9c0871452b3918c1019dde9bfac75448afc4b57f</Application>
  <AppVersion>15.0000</AppVersion>
  <Pages>7</Pages>
  <Words>845</Words>
  <Characters>5501</Characters>
  <CharactersWithSpaces>6297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Niedziela</dc:creator>
  <dc:description/>
  <dc:language>pl-PL</dc:language>
  <cp:lastModifiedBy/>
  <cp:lastPrinted>2023-01-02T10:38:24Z</cp:lastPrinted>
  <dcterms:modified xsi:type="dcterms:W3CDTF">2023-01-27T10:16:49Z</dcterms:modified>
  <cp:revision>205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8FE3CCE5264343C3A55AAC74AB98C423</vt:lpwstr>
  </property>
  <property fmtid="{D5CDD505-2E9C-101B-9397-08002B2CF9AE}" pid="3" name="KSOProductBuildVer">
    <vt:lpwstr>1045-11.2.0.11156</vt:lpwstr>
  </property>
</Properties>
</file>