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B6" w:rsidRPr="002C2B89" w:rsidRDefault="000762B6" w:rsidP="000762B6">
      <w:pPr>
        <w:jc w:val="both"/>
        <w:rPr>
          <w:rFonts w:ascii="Times New Roman" w:hAnsi="Times New Roman"/>
        </w:rPr>
      </w:pPr>
    </w:p>
    <w:p w:rsidR="000762B6" w:rsidRDefault="000762B6" w:rsidP="000762B6">
      <w:pPr>
        <w:rPr>
          <w:b/>
          <w:color w:val="595959" w:themeColor="text1" w:themeTint="A6"/>
        </w:rPr>
      </w:pPr>
      <w:r>
        <w:rPr>
          <w:rFonts w:ascii="Times New Roman" w:hAnsi="Times New Roman"/>
          <w:noProof/>
          <w:color w:val="808080" w:themeColor="background1" w:themeShade="80"/>
          <w:spacing w:val="6"/>
          <w:sz w:val="20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3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595959" w:themeColor="text1" w:themeTint="A6"/>
        </w:rPr>
        <w:t xml:space="preserve">      </w:t>
      </w:r>
      <w:r w:rsidRPr="004B09F3">
        <w:rPr>
          <w:b/>
          <w:color w:val="595959" w:themeColor="text1" w:themeTint="A6"/>
        </w:rPr>
        <w:t>Fakultná nemocnica s poliklinikou Nové Zámky</w:t>
      </w:r>
    </w:p>
    <w:p w:rsidR="000762B6" w:rsidRPr="00283746" w:rsidRDefault="000762B6" w:rsidP="000762B6">
      <w:pPr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               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Slovenská </w:t>
      </w:r>
      <w:r w:rsidRPr="004B09F3">
        <w:rPr>
          <w:color w:val="595959" w:themeColor="text1" w:themeTint="A6"/>
          <w:sz w:val="20"/>
          <w:szCs w:val="20"/>
        </w:rPr>
        <w:t>ulica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 11 A, 940 34 Nové Zámky</w:t>
      </w:r>
    </w:p>
    <w:p w:rsidR="000762B6" w:rsidRPr="00CA4AAC" w:rsidRDefault="000762B6" w:rsidP="000762B6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color w:val="595959" w:themeColor="text1" w:themeTint="A6"/>
          <w:spacing w:val="6"/>
          <w:sz w:val="16"/>
          <w:szCs w:val="16"/>
        </w:rPr>
      </w:pPr>
      <w:r>
        <w:rPr>
          <w:color w:val="595959" w:themeColor="text1" w:themeTint="A6"/>
          <w:spacing w:val="6"/>
          <w:sz w:val="16"/>
          <w:szCs w:val="16"/>
        </w:rPr>
        <w:t xml:space="preserve">Tel: +421 (0) 35 691 2111  </w:t>
      </w:r>
      <w:r w:rsidRPr="004B09F3">
        <w:rPr>
          <w:color w:val="595959" w:themeColor="text1" w:themeTint="A6"/>
          <w:spacing w:val="6"/>
          <w:sz w:val="16"/>
          <w:szCs w:val="16"/>
        </w:rPr>
        <w:t>E-mail</w:t>
      </w:r>
      <w:r>
        <w:rPr>
          <w:color w:val="595959" w:themeColor="text1" w:themeTint="A6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spacing w:val="6"/>
            <w:sz w:val="16"/>
            <w:szCs w:val="16"/>
          </w:rPr>
          <w:t>email@nspnz.sk</w:t>
        </w:r>
      </w:hyperlink>
      <w:r>
        <w:rPr>
          <w:color w:val="595959" w:themeColor="text1" w:themeTint="A6"/>
          <w:spacing w:val="6"/>
          <w:sz w:val="16"/>
          <w:szCs w:val="16"/>
        </w:rPr>
        <w:t xml:space="preserve">   </w:t>
      </w:r>
      <w:r w:rsidRPr="004B09F3">
        <w:rPr>
          <w:color w:val="595959" w:themeColor="text1" w:themeTint="A6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spacing w:val="6"/>
            <w:sz w:val="16"/>
            <w:szCs w:val="16"/>
          </w:rPr>
          <w:t>www.nspnz.sk</w:t>
        </w:r>
      </w:hyperlink>
      <w:r w:rsidR="005A2C09" w:rsidRPr="005A2C09">
        <w:rPr>
          <w:noProof/>
          <w:color w:val="595959" w:themeColor="text1" w:themeTint="A6"/>
          <w:spacing w:val="6"/>
          <w:sz w:val="16"/>
          <w:szCs w:val="16"/>
          <w:lang w:val="en-US"/>
        </w:rPr>
        <w:pict>
          <v:line id="Rovná spojnica 1" o:spid="_x0000_s1026" style="position:absolute;left:0;text-align:left;z-index:251661312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0762B6" w:rsidRDefault="000762B6" w:rsidP="000762B6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0762B6" w:rsidRDefault="000762B6" w:rsidP="00EE5F16">
      <w:pPr>
        <w:jc w:val="center"/>
        <w:rPr>
          <w:rFonts w:ascii="Times New Roman" w:hAnsi="Times New Roman" w:cs="Times New Roman"/>
          <w:sz w:val="28"/>
        </w:rPr>
      </w:pPr>
    </w:p>
    <w:p w:rsidR="000762B6" w:rsidRDefault="000762B6" w:rsidP="00EE5F16">
      <w:pPr>
        <w:jc w:val="center"/>
        <w:rPr>
          <w:rFonts w:ascii="Times New Roman" w:hAnsi="Times New Roman" w:cs="Times New Roman"/>
          <w:sz w:val="28"/>
        </w:rPr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r w:rsidR="00CE5FB5">
        <w:rPr>
          <w:rFonts w:ascii="Times New Roman" w:hAnsi="Times New Roman" w:cs="Times New Roman"/>
          <w:sz w:val="28"/>
        </w:rPr>
        <w:t>6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0762B6" w:rsidRPr="000762B6" w:rsidRDefault="00EE5F16" w:rsidP="000762B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0762B6" w:rsidRPr="000762B6">
        <w:rPr>
          <w:rFonts w:ascii="Times New Roman" w:hAnsi="Times New Roman" w:cs="Times New Roman"/>
          <w:color w:val="000000"/>
        </w:rPr>
        <w:t>Názov organizácie: Fakultná nemocnica s poliklinikou Nové Zámky</w:t>
      </w:r>
    </w:p>
    <w:p w:rsidR="000762B6" w:rsidRPr="000762B6" w:rsidRDefault="000762B6" w:rsidP="000762B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0762B6">
        <w:rPr>
          <w:rFonts w:ascii="Times New Roman" w:hAnsi="Times New Roman" w:cs="Times New Roman"/>
          <w:color w:val="000000"/>
        </w:rPr>
        <w:t xml:space="preserve">  Sídlo organizácie: Slovenská ulica 11 A, 940 34  Nové Zámky   </w:t>
      </w:r>
    </w:p>
    <w:p w:rsidR="000762B6" w:rsidRPr="000762B6" w:rsidRDefault="000762B6" w:rsidP="000762B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0762B6">
        <w:rPr>
          <w:rFonts w:ascii="Times New Roman" w:hAnsi="Times New Roman" w:cs="Times New Roman"/>
          <w:color w:val="000000"/>
        </w:rPr>
        <w:t xml:space="preserve">  IČO: 173 361 12</w:t>
      </w:r>
      <w:r w:rsidRPr="000762B6">
        <w:rPr>
          <w:rFonts w:ascii="Times New Roman" w:hAnsi="Times New Roman" w:cs="Times New Roman"/>
          <w:color w:val="000000"/>
        </w:rPr>
        <w:tab/>
        <w:t xml:space="preserve"> </w:t>
      </w:r>
    </w:p>
    <w:p w:rsidR="00EE5F16" w:rsidRDefault="00EE5F16" w:rsidP="000762B6">
      <w:pPr>
        <w:tabs>
          <w:tab w:val="left" w:pos="284"/>
          <w:tab w:val="left" w:pos="709"/>
          <w:tab w:val="left" w:pos="2268"/>
        </w:tabs>
        <w:ind w:left="284"/>
        <w:rPr>
          <w:color w:val="000000"/>
        </w:rPr>
      </w:pPr>
      <w:r w:rsidRPr="008E34F6">
        <w:rPr>
          <w:color w:val="000000"/>
        </w:rPr>
        <w:tab/>
      </w:r>
      <w:r w:rsidR="00DD4FD6">
        <w:rPr>
          <w:color w:val="000000"/>
        </w:rPr>
        <w:t xml:space="preserve"> </w:t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X="421" w:tblpY="8240"/>
        <w:tblW w:w="8635" w:type="dxa"/>
        <w:tblLook w:val="04A0"/>
      </w:tblPr>
      <w:tblGrid>
        <w:gridCol w:w="4819"/>
        <w:gridCol w:w="3816"/>
      </w:tblGrid>
      <w:tr w:rsidR="005F5305" w:rsidRPr="00102B2E" w:rsidTr="005F5305">
        <w:trPr>
          <w:cnfStyle w:val="100000000000"/>
          <w:trHeight w:val="252"/>
        </w:trPr>
        <w:tc>
          <w:tcPr>
            <w:cnfStyle w:val="001000000000"/>
            <w:tcW w:w="4819" w:type="dxa"/>
            <w:noWrap/>
            <w:hideMark/>
          </w:tcPr>
          <w:p w:rsidR="005F5305" w:rsidRPr="00102B2E" w:rsidRDefault="005F5305" w:rsidP="005F53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5F5305" w:rsidRPr="00102B2E" w:rsidRDefault="005F5305" w:rsidP="005F5305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noWrap/>
          </w:tcPr>
          <w:p w:rsidR="005F5305" w:rsidRPr="0026224A" w:rsidRDefault="005F5305" w:rsidP="005F53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5F5305" w:rsidRPr="0026224A" w:rsidRDefault="005F5305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26224A" w:rsidRDefault="005F5305" w:rsidP="005F530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AA54A9" w:rsidRDefault="00A12E93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A54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r w:rsidR="00CE5FB5" w:rsidRPr="00AA54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26224A" w:rsidRDefault="005F5305" w:rsidP="005F530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AA54A9" w:rsidRDefault="00CE5FB5" w:rsidP="005F5305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54A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Pr="00F51964">
        <w:rPr>
          <w:rFonts w:ascii="Times New Roman" w:hAnsi="Times New Roman" w:cs="Times New Roman"/>
        </w:rPr>
        <w:t xml:space="preserve">: </w:t>
      </w:r>
      <w:r w:rsidR="00A12E93" w:rsidRPr="00F51964">
        <w:rPr>
          <w:rFonts w:ascii="Times New Roman" w:hAnsi="Times New Roman" w:cs="Times New Roman"/>
        </w:rPr>
        <w:t>1</w:t>
      </w:r>
      <w:r w:rsidR="00CE5FB5" w:rsidRPr="00F51964">
        <w:rPr>
          <w:rFonts w:ascii="Times New Roman" w:hAnsi="Times New Roman" w:cs="Times New Roman"/>
        </w:rPr>
        <w:t>2</w:t>
      </w:r>
      <w:r w:rsidR="00A12E93" w:rsidRPr="00F51964">
        <w:rPr>
          <w:rFonts w:ascii="Times New Roman" w:hAnsi="Times New Roman" w:cs="Times New Roman"/>
        </w:rPr>
        <w:t xml:space="preserve"> </w:t>
      </w:r>
      <w:r w:rsidR="00CE5FB5" w:rsidRPr="00F51964">
        <w:rPr>
          <w:rFonts w:ascii="Times New Roman" w:hAnsi="Times New Roman" w:cs="Times New Roman"/>
        </w:rPr>
        <w:t>560</w:t>
      </w:r>
      <w:r w:rsidR="00C8097C">
        <w:rPr>
          <w:rFonts w:ascii="Times New Roman" w:hAnsi="Times New Roman" w:cs="Times New Roman"/>
        </w:rPr>
        <w:t>,</w:t>
      </w:r>
      <w:r w:rsidR="00D15162" w:rsidRPr="00F51964">
        <w:rPr>
          <w:rFonts w:ascii="Times New Roman" w:hAnsi="Times New Roman" w:cs="Times New Roman"/>
        </w:rPr>
        <w:t>00</w:t>
      </w:r>
      <w:r w:rsidRPr="00F51964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0762B6">
        <w:rPr>
          <w:bCs/>
          <w:sz w:val="24"/>
          <w:szCs w:val="24"/>
        </w:rPr>
        <w:t>Miesto dodania:</w:t>
      </w:r>
      <w:r w:rsidR="00A83A41" w:rsidRPr="000762B6">
        <w:rPr>
          <w:bCs/>
          <w:sz w:val="24"/>
          <w:szCs w:val="24"/>
        </w:rPr>
        <w:t xml:space="preserve"> </w:t>
      </w:r>
      <w:r w:rsidR="000762B6" w:rsidRPr="000762B6">
        <w:rPr>
          <w:bCs/>
          <w:sz w:val="24"/>
          <w:szCs w:val="24"/>
        </w:rPr>
        <w:t>Fakultná</w:t>
      </w:r>
      <w:r w:rsidR="000762B6" w:rsidRPr="00384E27">
        <w:rPr>
          <w:bCs/>
          <w:sz w:val="24"/>
          <w:szCs w:val="24"/>
        </w:rPr>
        <w:t xml:space="preserve"> nemocnica s poliklinikou Nové Zámky</w:t>
      </w:r>
      <w:r w:rsidR="000762B6">
        <w:rPr>
          <w:bCs/>
          <w:sz w:val="24"/>
          <w:szCs w:val="24"/>
        </w:rPr>
        <w:t xml:space="preserve">, </w:t>
      </w:r>
      <w:r w:rsidR="000762B6" w:rsidRPr="00384E27">
        <w:rPr>
          <w:bCs/>
          <w:sz w:val="24"/>
          <w:szCs w:val="24"/>
        </w:rPr>
        <w:t>Slovenská ulica 11 A, 940 34  Nové Zámky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1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</w:t>
      </w:r>
      <w:r w:rsidRPr="00E02FE2">
        <w:rPr>
          <w:sz w:val="24"/>
          <w:szCs w:val="24"/>
        </w:rPr>
        <w:t>dátum:</w:t>
      </w:r>
      <w:r w:rsidR="00E02FE2" w:rsidRPr="00E02FE2">
        <w:rPr>
          <w:sz w:val="24"/>
          <w:szCs w:val="24"/>
        </w:rPr>
        <w:t xml:space="preserve"> </w:t>
      </w:r>
      <w:r w:rsidR="00A32F74">
        <w:rPr>
          <w:b/>
          <w:bCs/>
          <w:sz w:val="24"/>
          <w:szCs w:val="24"/>
        </w:rPr>
        <w:t>30</w:t>
      </w:r>
      <w:r w:rsidR="00E02FE2" w:rsidRPr="00E02FE2">
        <w:rPr>
          <w:b/>
          <w:bCs/>
          <w:sz w:val="24"/>
          <w:szCs w:val="24"/>
        </w:rPr>
        <w:t>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CE5FB5" w:rsidRDefault="00CE5FB5" w:rsidP="00CE5FB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CE5FB5" w:rsidRPr="009F7C70" w:rsidRDefault="00CE5FB5" w:rsidP="00CE5FB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CE5FB5" w:rsidRPr="009F7C70" w:rsidRDefault="00CE5FB5" w:rsidP="00CE5FB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82,5</w:t>
      </w:r>
      <w:r w:rsidRPr="009F7C70">
        <w:rPr>
          <w:sz w:val="24"/>
          <w:szCs w:val="24"/>
        </w:rPr>
        <w:t xml:space="preserve"> bodov</w:t>
      </w:r>
    </w:p>
    <w:p w:rsidR="00CE5FB5" w:rsidRPr="009F7C70" w:rsidRDefault="00CE5FB5" w:rsidP="00CE5FB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17,5</w:t>
      </w:r>
      <w:r w:rsidRPr="009F7C70">
        <w:rPr>
          <w:sz w:val="24"/>
          <w:szCs w:val="24"/>
        </w:rPr>
        <w:t xml:space="preserve"> bodov</w:t>
      </w:r>
    </w:p>
    <w:p w:rsidR="00CE5FB5" w:rsidRPr="009F7C70" w:rsidRDefault="00CE5FB5" w:rsidP="00CE5FB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CE5FB5" w:rsidRPr="009F7C70" w:rsidRDefault="00CE5FB5" w:rsidP="00CE5FB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CE5FB5" w:rsidRPr="000542A6" w:rsidRDefault="00CE5FB5" w:rsidP="00CE5FB5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CE5FB5" w:rsidRPr="009F7C70" w:rsidRDefault="00CE5FB5" w:rsidP="00CE5FB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82,5</w:t>
      </w:r>
      <w:r w:rsidRPr="009F7C70">
        <w:rPr>
          <w:sz w:val="24"/>
          <w:szCs w:val="24"/>
        </w:rPr>
        <w:t xml:space="preserve">) - </w:t>
      </w:r>
    </w:p>
    <w:p w:rsidR="00CE5FB5" w:rsidRDefault="00CE5FB5" w:rsidP="00CE5FB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CE5FB5" w:rsidRPr="009F7C70" w:rsidRDefault="00CE5FB5" w:rsidP="00CE5FB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:rsidR="000A1F6D" w:rsidRPr="00CE5FB5" w:rsidRDefault="000A1F6D" w:rsidP="00CE5FB5">
      <w:pPr>
        <w:tabs>
          <w:tab w:val="left" w:pos="426"/>
        </w:tabs>
        <w:spacing w:line="276" w:lineRule="auto"/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</w:t>
      </w:r>
      <w:r w:rsidR="00CE5FB5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  <w:bookmarkStart w:id="1" w:name="_GoBack"/>
      <w:bookmarkEnd w:id="1"/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547135" w:rsidRPr="009F7C70" w:rsidTr="000E1773">
        <w:trPr>
          <w:trHeight w:val="300"/>
        </w:trPr>
        <w:tc>
          <w:tcPr>
            <w:tcW w:w="5098" w:type="dxa"/>
            <w:vAlign w:val="center"/>
          </w:tcPr>
          <w:p w:rsidR="00547135" w:rsidRPr="00C92FA4" w:rsidRDefault="00547135" w:rsidP="005F530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  <w:hideMark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lastRenderedPageBreak/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833FD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F5" w:rsidRDefault="005B73F5" w:rsidP="00110C23">
      <w:r>
        <w:separator/>
      </w:r>
    </w:p>
  </w:endnote>
  <w:endnote w:type="continuationSeparator" w:id="0">
    <w:p w:rsidR="005B73F5" w:rsidRDefault="005B73F5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F5" w:rsidRDefault="005B73F5" w:rsidP="00110C23">
      <w:r>
        <w:separator/>
      </w:r>
    </w:p>
  </w:footnote>
  <w:footnote w:type="continuationSeparator" w:id="0">
    <w:p w:rsidR="005B73F5" w:rsidRDefault="005B73F5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762B6"/>
    <w:rsid w:val="000A1F6D"/>
    <w:rsid w:val="0011056B"/>
    <w:rsid w:val="00110C23"/>
    <w:rsid w:val="001873A6"/>
    <w:rsid w:val="001875D5"/>
    <w:rsid w:val="001D34A5"/>
    <w:rsid w:val="001F0387"/>
    <w:rsid w:val="002B7B6A"/>
    <w:rsid w:val="002E55F5"/>
    <w:rsid w:val="00333B58"/>
    <w:rsid w:val="00334E6E"/>
    <w:rsid w:val="004368A3"/>
    <w:rsid w:val="004C4E6C"/>
    <w:rsid w:val="00515ED5"/>
    <w:rsid w:val="005447AF"/>
    <w:rsid w:val="00547135"/>
    <w:rsid w:val="00581560"/>
    <w:rsid w:val="005A2C09"/>
    <w:rsid w:val="005B73F5"/>
    <w:rsid w:val="005F5305"/>
    <w:rsid w:val="006238FF"/>
    <w:rsid w:val="006D74E7"/>
    <w:rsid w:val="007014F7"/>
    <w:rsid w:val="0073453C"/>
    <w:rsid w:val="00761692"/>
    <w:rsid w:val="00774A34"/>
    <w:rsid w:val="007E1236"/>
    <w:rsid w:val="007E30C7"/>
    <w:rsid w:val="00833FDE"/>
    <w:rsid w:val="00834682"/>
    <w:rsid w:val="00846FAF"/>
    <w:rsid w:val="008E34F6"/>
    <w:rsid w:val="00900EB5"/>
    <w:rsid w:val="009136BD"/>
    <w:rsid w:val="0092713A"/>
    <w:rsid w:val="009342AD"/>
    <w:rsid w:val="009F7C70"/>
    <w:rsid w:val="00A0022B"/>
    <w:rsid w:val="00A12E93"/>
    <w:rsid w:val="00A32F74"/>
    <w:rsid w:val="00A55491"/>
    <w:rsid w:val="00A657C9"/>
    <w:rsid w:val="00A83A41"/>
    <w:rsid w:val="00AA54A9"/>
    <w:rsid w:val="00AF4738"/>
    <w:rsid w:val="00B5113D"/>
    <w:rsid w:val="00B73AEE"/>
    <w:rsid w:val="00C04A10"/>
    <w:rsid w:val="00C8097C"/>
    <w:rsid w:val="00C92FA4"/>
    <w:rsid w:val="00CD00AE"/>
    <w:rsid w:val="00CE5FB5"/>
    <w:rsid w:val="00D05F58"/>
    <w:rsid w:val="00D15162"/>
    <w:rsid w:val="00D31C34"/>
    <w:rsid w:val="00DD4FD6"/>
    <w:rsid w:val="00E02FE2"/>
    <w:rsid w:val="00E03E79"/>
    <w:rsid w:val="00E120DA"/>
    <w:rsid w:val="00E20D89"/>
    <w:rsid w:val="00E61174"/>
    <w:rsid w:val="00EE5F16"/>
    <w:rsid w:val="00F51964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character" w:customStyle="1" w:styleId="FontStyle72">
    <w:name w:val="Font Style72"/>
    <w:uiPriority w:val="99"/>
    <w:rsid w:val="000762B6"/>
    <w:rPr>
      <w:rFonts w:ascii="Garamond" w:hAnsi="Garamond" w:cs="Garamon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19</cp:revision>
  <cp:lastPrinted>2018-11-21T11:11:00Z</cp:lastPrinted>
  <dcterms:created xsi:type="dcterms:W3CDTF">2019-03-22T09:16:00Z</dcterms:created>
  <dcterms:modified xsi:type="dcterms:W3CDTF">2019-05-10T09:56:00Z</dcterms:modified>
</cp:coreProperties>
</file>