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78C721FB" w:rsidR="00B54827" w:rsidRPr="00BA50B7" w:rsidRDefault="0003751D" w:rsidP="009A537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3B4E00">
        <w:rPr>
          <w:rFonts w:asciiTheme="minorHAnsi" w:hAnsiTheme="minorHAnsi"/>
          <w:bCs/>
        </w:rPr>
        <w:t>zadávacího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2565DD" w:rsidRPr="00BA50B7">
        <w:rPr>
          <w:rFonts w:asciiTheme="minorHAnsi" w:hAnsiTheme="minorHAnsi"/>
          <w:b/>
          <w:bCs/>
        </w:rPr>
        <w:t>„</w:t>
      </w:r>
      <w:r w:rsidR="009A5372" w:rsidRPr="009A5372">
        <w:rPr>
          <w:rFonts w:asciiTheme="minorHAnsi" w:hAnsiTheme="minorHAnsi"/>
          <w:b/>
          <w:bCs/>
        </w:rPr>
        <w:t xml:space="preserve">Řešení problematiky hluku na silnicích </w:t>
      </w:r>
      <w:bookmarkStart w:id="0" w:name="_GoBack"/>
      <w:bookmarkEnd w:id="0"/>
      <w:r w:rsidR="009A5372" w:rsidRPr="009A5372">
        <w:rPr>
          <w:rFonts w:asciiTheme="minorHAnsi" w:hAnsiTheme="minorHAnsi"/>
          <w:b/>
          <w:bCs/>
        </w:rPr>
        <w:t>ve vlastnictví Libereckého kraje - I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EEC69" w14:textId="77777777" w:rsidR="00041AEF" w:rsidRDefault="00041AEF">
      <w:r>
        <w:separator/>
      </w:r>
    </w:p>
  </w:endnote>
  <w:endnote w:type="continuationSeparator" w:id="0">
    <w:p w14:paraId="16455C3B" w14:textId="77777777" w:rsidR="00041AEF" w:rsidRDefault="0004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DF64E" w14:textId="77777777" w:rsidR="00041AEF" w:rsidRDefault="00041AEF">
      <w:r>
        <w:separator/>
      </w:r>
    </w:p>
  </w:footnote>
  <w:footnote w:type="continuationSeparator" w:id="0">
    <w:p w14:paraId="0AA180E4" w14:textId="77777777" w:rsidR="00041AEF" w:rsidRDefault="00041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41AEF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5372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B70CB-5D51-4081-B95D-9399D16C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2018-04-13T05:59:00Z</cp:lastPrinted>
  <dcterms:created xsi:type="dcterms:W3CDTF">2019-05-10T06:21:00Z</dcterms:created>
  <dcterms:modified xsi:type="dcterms:W3CDTF">2019-05-10T07:18:00Z</dcterms:modified>
</cp:coreProperties>
</file>